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#10</w:t>
      </w:r>
      <w:r>
        <w:rPr>
          <w:rFonts w:hint="eastAsia" w:eastAsia="宋体"/>
          <w:sz w:val="22"/>
          <w:szCs w:val="22"/>
          <w:lang w:eastAsia="zh-CN"/>
        </w:rPr>
        <w:t>7</w:t>
      </w:r>
      <w:r>
        <w:rPr>
          <w:sz w:val="22"/>
          <w:szCs w:val="22"/>
        </w:rPr>
        <w:t>-e</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2110948</w:t>
      </w:r>
    </w:p>
    <w:p>
      <w:pPr>
        <w:snapToGrid w:val="0"/>
        <w:spacing w:line="240" w:lineRule="auto"/>
        <w:rPr>
          <w:rFonts w:ascii="Arial" w:hAnsi="Arial" w:eastAsia="宋体"/>
          <w:b/>
          <w:sz w:val="22"/>
        </w:rPr>
      </w:pPr>
      <w:r>
        <w:rPr>
          <w:rFonts w:ascii="Arial" w:hAnsi="Arial"/>
          <w:b/>
          <w:sz w:val="22"/>
        </w:rPr>
        <w:t>e-Meeting</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 xml:space="preserve">November </w:t>
      </w:r>
      <w:r>
        <w:rPr>
          <w:rFonts w:hint="eastAsia" w:ascii="Arial" w:hAnsi="Arial"/>
          <w:b/>
          <w:sz w:val="22"/>
          <w:lang w:eastAsia="ja-JP"/>
        </w:rPr>
        <w:t>1</w:t>
      </w:r>
      <w:r>
        <w:rPr>
          <w:rFonts w:hint="eastAsia" w:ascii="Arial" w:hAnsi="Arial" w:eastAsia="宋体"/>
          <w:b/>
          <w:sz w:val="22"/>
        </w:rPr>
        <w:t>1</w:t>
      </w:r>
      <w:r>
        <w:rPr>
          <w:rFonts w:hint="eastAsia" w:ascii="Arial" w:hAnsi="Arial"/>
          <w:b/>
          <w:sz w:val="22"/>
          <w:vertAlign w:val="superscript"/>
          <w:lang w:eastAsia="ja-JP"/>
        </w:rPr>
        <w:t>th</w:t>
      </w:r>
      <w:r>
        <w:rPr>
          <w:rFonts w:hint="eastAsia" w:ascii="Arial" w:hAnsi="Arial"/>
          <w:b/>
          <w:sz w:val="22"/>
          <w:lang w:eastAsia="ja-JP"/>
        </w:rPr>
        <w:t xml:space="preserve"> –</w:t>
      </w:r>
      <w:r>
        <w:rPr>
          <w:rFonts w:hint="eastAsia" w:ascii="Arial" w:hAnsi="Arial"/>
          <w:b/>
          <w:sz w:val="22"/>
        </w:rPr>
        <w:t xml:space="preserve"> </w:t>
      </w:r>
      <w:r>
        <w:rPr>
          <w:rFonts w:hint="eastAsia" w:ascii="Arial" w:hAnsi="Arial" w:eastAsia="宋体"/>
          <w:b/>
          <w:sz w:val="22"/>
        </w:rPr>
        <w:t>19</w:t>
      </w:r>
      <w:r>
        <w:rPr>
          <w:rFonts w:hint="eastAsia" w:ascii="Arial" w:hAnsi="Arial"/>
          <w:b/>
          <w:sz w:val="22"/>
          <w:vertAlign w:val="superscript"/>
        </w:rPr>
        <w:t>th</w:t>
      </w:r>
      <w:r>
        <w:rPr>
          <w:rFonts w:hint="eastAsia" w:ascii="Arial" w:hAnsi="Arial"/>
          <w:b/>
          <w:sz w:val="22"/>
          <w:lang w:eastAsia="ja-JP"/>
        </w:rPr>
        <w:t>, 202</w:t>
      </w:r>
      <w:r>
        <w:rPr>
          <w:rFonts w:hint="eastAsia" w:ascii="Arial" w:hAnsi="Arial" w:eastAsia="宋体"/>
          <w:b/>
          <w:sz w:val="22"/>
        </w:rPr>
        <w:t>1</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Enhancements on Multi-beam Operation</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8.1.1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240" w:after="120" w:afterLines="50" w:line="240" w:lineRule="auto"/>
        <w:ind w:left="425" w:hanging="425"/>
        <w:jc w:val="both"/>
        <w:outlineLvl w:val="0"/>
        <w:rPr>
          <w:rFonts w:eastAsia="宋体"/>
          <w:b/>
          <w:sz w:val="28"/>
          <w:szCs w:val="28"/>
        </w:rPr>
      </w:pPr>
      <w:r>
        <w:rPr>
          <w:rFonts w:eastAsia="宋体"/>
          <w:b/>
          <w:sz w:val="28"/>
          <w:szCs w:val="28"/>
        </w:rPr>
        <w:t>Introduction</w:t>
      </w:r>
      <w:bookmarkStart w:id="12" w:name="_GoBack"/>
      <w:bookmarkEnd w:id="12"/>
    </w:p>
    <w:p>
      <w:pPr>
        <w:snapToGrid w:val="0"/>
        <w:spacing w:before="120" w:after="120" w:afterLines="50" w:line="300" w:lineRule="auto"/>
        <w:jc w:val="both"/>
        <w:rPr>
          <w:rFonts w:eastAsia="微软雅黑"/>
          <w:szCs w:val="20"/>
        </w:rPr>
      </w:pPr>
      <w:r>
        <w:rPr>
          <w:rFonts w:hint="eastAsia" w:eastAsia="微软雅黑"/>
          <w:szCs w:val="20"/>
          <w:lang w:val="en-GB"/>
        </w:rPr>
        <w:t>I</w:t>
      </w:r>
      <w:r>
        <w:rPr>
          <w:rFonts w:eastAsia="微软雅黑"/>
          <w:szCs w:val="20"/>
          <w:lang w:val="en-GB"/>
        </w:rPr>
        <w:t>n RAN</w:t>
      </w:r>
      <w:r>
        <w:rPr>
          <w:rFonts w:hint="eastAsia" w:eastAsia="微软雅黑"/>
          <w:szCs w:val="20"/>
        </w:rPr>
        <w:t>1</w:t>
      </w:r>
      <w:r>
        <w:rPr>
          <w:rFonts w:eastAsia="微软雅黑"/>
          <w:szCs w:val="20"/>
          <w:lang w:val="en-GB"/>
        </w:rPr>
        <w:t>#</w:t>
      </w:r>
      <w:r>
        <w:rPr>
          <w:rFonts w:hint="eastAsia" w:eastAsia="微软雅黑"/>
          <w:szCs w:val="20"/>
        </w:rPr>
        <w:t>106b</w:t>
      </w:r>
      <w:r>
        <w:rPr>
          <w:rFonts w:eastAsia="微软雅黑"/>
          <w:szCs w:val="20"/>
        </w:rPr>
        <w:t>-</w:t>
      </w:r>
      <w:r>
        <w:rPr>
          <w:rFonts w:hint="eastAsia" w:eastAsia="微软雅黑"/>
          <w:szCs w:val="20"/>
        </w:rPr>
        <w:t xml:space="preserve">e </w:t>
      </w:r>
      <w:r>
        <w:rPr>
          <w:rFonts w:hint="eastAsia" w:eastAsia="宋体"/>
        </w:rPr>
        <w:t>[1] and previous meetings</w:t>
      </w:r>
      <w:r>
        <w:rPr>
          <w:rFonts w:eastAsia="微软雅黑"/>
          <w:szCs w:val="20"/>
          <w:lang w:val="en-GB"/>
        </w:rPr>
        <w:t xml:space="preserve">, </w:t>
      </w:r>
      <w:r>
        <w:rPr>
          <w:rFonts w:hint="eastAsia" w:eastAsia="微软雅黑"/>
          <w:szCs w:val="20"/>
        </w:rPr>
        <w:t xml:space="preserve">enhancements on </w:t>
      </w:r>
      <w:r>
        <w:rPr>
          <w:rFonts w:hint="eastAsia" w:eastAsia="宋体"/>
        </w:rPr>
        <w:t>mu</w:t>
      </w:r>
      <w:r>
        <w:rPr>
          <w:rFonts w:eastAsia="宋体"/>
        </w:rPr>
        <w:t>l</w:t>
      </w:r>
      <w:r>
        <w:rPr>
          <w:rFonts w:hint="eastAsia" w:eastAsia="宋体"/>
        </w:rPr>
        <w:t xml:space="preserve">ti-beam operation were discussed and progresses were reached on </w:t>
      </w:r>
      <w:r>
        <w:rPr>
          <w:rFonts w:cs="Times"/>
          <w:szCs w:val="20"/>
        </w:rPr>
        <w:t>unified TCI framework</w:t>
      </w:r>
      <w:r>
        <w:rPr>
          <w:rFonts w:hint="eastAsia" w:eastAsia="宋体" w:cs="Times"/>
          <w:szCs w:val="20"/>
        </w:rPr>
        <w:t xml:space="preserve">, </w:t>
      </w:r>
      <w:r>
        <w:rPr>
          <w:rFonts w:cs="Times"/>
          <w:szCs w:val="20"/>
        </w:rPr>
        <w:t>L1/L2-centric inter-cell mobility, UL fast panel selection</w:t>
      </w:r>
      <w:r>
        <w:rPr>
          <w:rFonts w:hint="eastAsia" w:eastAsia="宋体" w:cs="Times"/>
          <w:szCs w:val="20"/>
        </w:rPr>
        <w:t xml:space="preserve">, and </w:t>
      </w:r>
      <w:r>
        <w:rPr>
          <w:rFonts w:cs="Times"/>
          <w:szCs w:val="20"/>
        </w:rPr>
        <w:t xml:space="preserve">enhancement </w:t>
      </w:r>
      <w:r>
        <w:rPr>
          <w:rFonts w:hint="eastAsia" w:eastAsia="宋体" w:cs="Times"/>
          <w:szCs w:val="20"/>
        </w:rPr>
        <w:t xml:space="preserve">related to </w:t>
      </w:r>
      <w:r>
        <w:rPr>
          <w:rFonts w:cs="Times"/>
          <w:szCs w:val="20"/>
        </w:rPr>
        <w:t>MP-UE</w:t>
      </w:r>
      <w:r>
        <w:rPr>
          <w:rFonts w:hint="eastAsia" w:eastAsia="宋体" w:cs="Times"/>
          <w:szCs w:val="20"/>
        </w:rPr>
        <w:t xml:space="preserve">. </w:t>
      </w:r>
      <w:r>
        <w:rPr>
          <w:rFonts w:hint="eastAsia" w:eastAsia="微软雅黑"/>
          <w:szCs w:val="20"/>
          <w:lang w:val="en-GB"/>
        </w:rPr>
        <w:t xml:space="preserve">In this contribution, </w:t>
      </w:r>
      <w:r>
        <w:rPr>
          <w:rFonts w:hint="eastAsia" w:eastAsia="微软雅黑"/>
          <w:szCs w:val="20"/>
        </w:rPr>
        <w:t xml:space="preserve">we </w:t>
      </w:r>
      <w:r>
        <w:rPr>
          <w:rFonts w:eastAsia="微软雅黑"/>
          <w:szCs w:val="20"/>
        </w:rPr>
        <w:t>analyze</w:t>
      </w:r>
      <w:r>
        <w:rPr>
          <w:rFonts w:hint="eastAsia" w:eastAsia="微软雅黑"/>
          <w:szCs w:val="20"/>
        </w:rPr>
        <w:t xml:space="preserve"> further details and provide </w:t>
      </w:r>
      <w:r>
        <w:rPr>
          <w:rFonts w:eastAsia="微软雅黑"/>
          <w:szCs w:val="20"/>
          <w:lang w:val="en-GB"/>
        </w:rPr>
        <w:t xml:space="preserve">our views </w:t>
      </w:r>
      <w:r>
        <w:rPr>
          <w:rFonts w:hint="eastAsia" w:eastAsia="微软雅黑"/>
          <w:szCs w:val="20"/>
        </w:rPr>
        <w:t xml:space="preserve">on these topics. In addition, we also discuss and provide comments about RRC parameters for multi-beam operation in section 4. </w:t>
      </w:r>
    </w:p>
    <w:p>
      <w:pPr>
        <w:keepNext/>
        <w:widowControl w:val="0"/>
        <w:numPr>
          <w:ilvl w:val="0"/>
          <w:numId w:val="7"/>
        </w:numPr>
        <w:tabs>
          <w:tab w:val="left" w:pos="3686"/>
          <w:tab w:val="left" w:pos="4536"/>
        </w:tabs>
        <w:autoSpaceDE w:val="0"/>
        <w:autoSpaceDN w:val="0"/>
        <w:adjustRightIn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Enhancement for efficient DL/UL beam management</w:t>
      </w:r>
    </w:p>
    <w:p>
      <w:pPr>
        <w:numPr>
          <w:ilvl w:val="1"/>
          <w:numId w:val="7"/>
        </w:numPr>
        <w:tabs>
          <w:tab w:val="clear" w:pos="576"/>
        </w:tabs>
        <w:snapToGrid w:val="0"/>
        <w:spacing w:before="240" w:after="120" w:afterLines="50" w:line="240" w:lineRule="auto"/>
        <w:ind w:left="567" w:hanging="567"/>
        <w:jc w:val="both"/>
        <w:outlineLvl w:val="1"/>
        <w:rPr>
          <w:rFonts w:eastAsia="宋体"/>
          <w:b/>
          <w:sz w:val="24"/>
          <w:szCs w:val="20"/>
        </w:rPr>
      </w:pPr>
      <w:r>
        <w:rPr>
          <w:rFonts w:eastAsia="宋体"/>
          <w:b/>
          <w:sz w:val="24"/>
          <w:szCs w:val="20"/>
        </w:rPr>
        <w:t>Unified TCI framework for both DL and UL</w:t>
      </w:r>
    </w:p>
    <w:p>
      <w:pPr>
        <w:snapToGrid w:val="0"/>
        <w:spacing w:before="120" w:after="120" w:afterLines="50" w:line="300" w:lineRule="auto"/>
        <w:jc w:val="both"/>
        <w:rPr>
          <w:rFonts w:eastAsia="微软雅黑"/>
          <w:szCs w:val="20"/>
        </w:rPr>
      </w:pPr>
      <w:r>
        <w:rPr>
          <w:rFonts w:hint="eastAsia" w:eastAsia="微软雅黑"/>
          <w:szCs w:val="20"/>
          <w:lang w:val="en-GB"/>
        </w:rPr>
        <w:t xml:space="preserve">The objective of unified TCI framework is to achieve a flexible beam </w:t>
      </w:r>
      <w:r>
        <w:rPr>
          <w:rFonts w:eastAsia="微软雅黑"/>
          <w:szCs w:val="20"/>
          <w:lang w:val="en-GB"/>
        </w:rPr>
        <w:t>update</w:t>
      </w:r>
      <w:r>
        <w:rPr>
          <w:rFonts w:hint="eastAsia" w:eastAsia="微软雅黑"/>
          <w:szCs w:val="20"/>
          <w:lang w:val="en-GB"/>
        </w:rPr>
        <w:t xml:space="preserve"> scheme for DL</w:t>
      </w:r>
      <w:r>
        <w:rPr>
          <w:rFonts w:eastAsia="微软雅黑"/>
          <w:szCs w:val="20"/>
          <w:lang w:val="en-GB"/>
        </w:rPr>
        <w:t xml:space="preserve">/UL data and control transmission/reception </w:t>
      </w:r>
      <w:r>
        <w:rPr>
          <w:rFonts w:hint="eastAsia" w:eastAsia="微软雅黑"/>
          <w:szCs w:val="20"/>
          <w:lang w:val="en-GB"/>
        </w:rPr>
        <w:t xml:space="preserve">with low </w:t>
      </w:r>
      <w:r>
        <w:rPr>
          <w:rFonts w:eastAsia="微软雅黑"/>
          <w:szCs w:val="20"/>
          <w:lang w:val="en-GB"/>
        </w:rPr>
        <w:t>signalling</w:t>
      </w:r>
      <w:r>
        <w:rPr>
          <w:rFonts w:hint="eastAsia" w:eastAsia="微软雅黑"/>
          <w:szCs w:val="20"/>
          <w:lang w:val="en-GB"/>
        </w:rPr>
        <w:t xml:space="preserve"> overhead and latency.</w:t>
      </w:r>
      <w:r>
        <w:rPr>
          <w:rFonts w:eastAsia="微软雅黑"/>
          <w:szCs w:val="20"/>
          <w:lang w:val="en-GB"/>
        </w:rPr>
        <w:t xml:space="preserve"> </w:t>
      </w:r>
      <w:r>
        <w:rPr>
          <w:rFonts w:hint="eastAsia" w:eastAsia="微软雅黑"/>
          <w:szCs w:val="20"/>
        </w:rPr>
        <w:t xml:space="preserve">The at least one source RS of a TCI state provides a reference for determining QCL </w:t>
      </w:r>
      <w:r>
        <w:rPr>
          <w:rFonts w:eastAsia="微软雅黑"/>
          <w:szCs w:val="20"/>
        </w:rPr>
        <w:t xml:space="preserve">assumption </w:t>
      </w:r>
      <w:r>
        <w:rPr>
          <w:rFonts w:hint="eastAsia" w:eastAsia="微软雅黑"/>
          <w:szCs w:val="20"/>
        </w:rPr>
        <w:t xml:space="preserve">and/or spatial filter. </w:t>
      </w:r>
    </w:p>
    <w:p>
      <w:pPr>
        <w:numPr>
          <w:ilvl w:val="2"/>
          <w:numId w:val="7"/>
        </w:numPr>
        <w:tabs>
          <w:tab w:val="clear" w:pos="720"/>
        </w:tabs>
        <w:snapToGrid w:val="0"/>
        <w:spacing w:before="240" w:after="120" w:afterLines="50" w:line="240" w:lineRule="auto"/>
        <w:ind w:left="607" w:hanging="607"/>
        <w:jc w:val="both"/>
        <w:outlineLvl w:val="2"/>
        <w:rPr>
          <w:b/>
          <w:bCs/>
          <w:sz w:val="21"/>
          <w:szCs w:val="21"/>
        </w:rPr>
      </w:pPr>
      <w:r>
        <w:rPr>
          <w:rFonts w:eastAsia="宋体"/>
          <w:b/>
          <w:bCs/>
          <w:sz w:val="21"/>
          <w:szCs w:val="21"/>
        </w:rPr>
        <w:t xml:space="preserve">Configuration framework for unified TCI </w:t>
      </w:r>
    </w:p>
    <w:p>
      <w:pPr>
        <w:snapToGrid w:val="0"/>
        <w:spacing w:before="120" w:after="120" w:afterLines="50" w:line="300" w:lineRule="auto"/>
        <w:jc w:val="both"/>
        <w:rPr>
          <w:rFonts w:eastAsia="微软雅黑"/>
          <w:szCs w:val="20"/>
        </w:rPr>
      </w:pPr>
      <w:r>
        <w:rPr>
          <w:rFonts w:eastAsia="微软雅黑"/>
          <w:szCs w:val="20"/>
        </w:rPr>
        <w:t xml:space="preserve">In </w:t>
      </w:r>
      <w:r>
        <w:rPr>
          <w:rFonts w:hint="eastAsia" w:eastAsia="微软雅黑"/>
          <w:szCs w:val="20"/>
        </w:rPr>
        <w:t>previous</w:t>
      </w:r>
      <w:r>
        <w:rPr>
          <w:rFonts w:eastAsia="微软雅黑"/>
          <w:szCs w:val="20"/>
        </w:rPr>
        <w:t xml:space="preserve"> </w:t>
      </w:r>
      <w:r>
        <w:rPr>
          <w:rFonts w:hint="eastAsia" w:eastAsia="微软雅黑"/>
          <w:szCs w:val="20"/>
        </w:rPr>
        <w:t xml:space="preserve">RAN1 </w:t>
      </w:r>
      <w:r>
        <w:rPr>
          <w:rFonts w:eastAsia="微软雅黑"/>
          <w:szCs w:val="20"/>
        </w:rPr>
        <w:t>meeting</w:t>
      </w:r>
      <w:r>
        <w:rPr>
          <w:rFonts w:hint="eastAsia" w:eastAsia="微软雅黑"/>
          <w:szCs w:val="20"/>
        </w:rPr>
        <w:t>s</w:t>
      </w:r>
      <w:r>
        <w:rPr>
          <w:rFonts w:eastAsia="微软雅黑"/>
          <w:szCs w:val="20"/>
        </w:rPr>
        <w:t xml:space="preserve">, it </w:t>
      </w:r>
      <w:r>
        <w:rPr>
          <w:rFonts w:hint="eastAsia" w:eastAsia="微软雅黑"/>
          <w:szCs w:val="20"/>
        </w:rPr>
        <w:t>was</w:t>
      </w:r>
      <w:r>
        <w:rPr>
          <w:rFonts w:eastAsia="微软雅黑"/>
          <w:szCs w:val="20"/>
        </w:rPr>
        <w:t xml:space="preserve"> agreed that both joint and separate TCI state indication </w:t>
      </w:r>
      <w:r>
        <w:rPr>
          <w:rFonts w:hint="eastAsia" w:eastAsia="微软雅黑"/>
          <w:szCs w:val="20"/>
        </w:rPr>
        <w:t xml:space="preserve">schemes are </w:t>
      </w:r>
      <w:r>
        <w:rPr>
          <w:rFonts w:eastAsia="微软雅黑"/>
          <w:szCs w:val="20"/>
        </w:rPr>
        <w:t xml:space="preserve">supported in Rel-17. </w:t>
      </w:r>
      <w:r>
        <w:rPr>
          <w:rFonts w:hint="eastAsia" w:eastAsia="微软雅黑"/>
          <w:szCs w:val="20"/>
        </w:rPr>
        <w:t>T</w:t>
      </w:r>
      <w:r>
        <w:rPr>
          <w:rFonts w:eastAsia="微软雅黑"/>
          <w:szCs w:val="20"/>
        </w:rPr>
        <w:t xml:space="preserve">he common RRC </w:t>
      </w:r>
      <w:r>
        <w:rPr>
          <w:rFonts w:hint="eastAsia" w:eastAsia="微软雅黑"/>
          <w:szCs w:val="20"/>
        </w:rPr>
        <w:t xml:space="preserve">configured TCI state </w:t>
      </w:r>
      <w:r>
        <w:rPr>
          <w:rFonts w:eastAsia="微软雅黑"/>
          <w:szCs w:val="20"/>
        </w:rPr>
        <w:t xml:space="preserve">pool for joint </w:t>
      </w:r>
      <w:r>
        <w:rPr>
          <w:rFonts w:hint="eastAsia" w:eastAsia="微软雅黑"/>
          <w:szCs w:val="20"/>
        </w:rPr>
        <w:t xml:space="preserve">TCI state </w:t>
      </w:r>
      <w:r>
        <w:rPr>
          <w:rFonts w:eastAsia="微软雅黑"/>
          <w:szCs w:val="20"/>
        </w:rPr>
        <w:t>indication has been agreed. But, for separate DL and UL TCI state indication</w:t>
      </w:r>
      <w:r>
        <w:rPr>
          <w:rFonts w:hint="eastAsia" w:eastAsia="微软雅黑"/>
          <w:szCs w:val="20"/>
        </w:rPr>
        <w:t>,</w:t>
      </w:r>
      <w:r>
        <w:rPr>
          <w:rFonts w:eastAsia="微软雅黑"/>
          <w:szCs w:val="20"/>
        </w:rPr>
        <w:t xml:space="preserve"> </w:t>
      </w:r>
      <w:r>
        <w:rPr>
          <w:rFonts w:hint="eastAsia" w:eastAsia="微软雅黑"/>
          <w:szCs w:val="20"/>
        </w:rPr>
        <w:t>RAN1 has not reached consensus on whether a common or a separate RRC TCI state pool</w:t>
      </w:r>
      <w:r>
        <w:rPr>
          <w:rFonts w:eastAsia="微软雅黑"/>
          <w:szCs w:val="20"/>
        </w:rPr>
        <w:t xml:space="preserve"> </w:t>
      </w:r>
      <w:r>
        <w:rPr>
          <w:rFonts w:hint="eastAsia" w:eastAsia="微软雅黑"/>
          <w:szCs w:val="20"/>
        </w:rPr>
        <w:t>should be adopted, and it is concluded to be up to RAN2 as follows</w:t>
      </w:r>
      <w:r>
        <w:rPr>
          <w:rFonts w:eastAsia="微软雅黑"/>
          <w:szCs w:val="20"/>
        </w:rPr>
        <w:t>.</w:t>
      </w:r>
    </w:p>
    <w:p>
      <w:pPr>
        <w:snapToGrid w:val="0"/>
        <w:spacing w:before="120" w:after="120" w:afterLines="50" w:line="300" w:lineRule="auto"/>
        <w:jc w:val="both"/>
        <w:rPr>
          <w:rFonts w:eastAsia="微软雅黑"/>
          <w:szCs w:val="20"/>
        </w:rPr>
      </w:pPr>
      <w:r>
        <w:rPr>
          <w:rFonts w:hint="eastAsia" w:eastAsia="微软雅黑"/>
          <w:szCs w:val="20"/>
        </w:rPr>
        <w:t xml:space="preserve">Besides, it was agreed that maximum number of codepoints activated via MAC CE is 8, and the maximum number of TCI states configured for joint DL/UL TCI states is 128 per BWP per CC, but failed to converge on the maximum number of TCI states configured with separate DL/UL TCI.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eastAsia="Batang"/>
                <w:szCs w:val="24"/>
                <w:lang w:val="en-GB" w:eastAsia="ja-JP"/>
              </w:rPr>
            </w:pPr>
            <w:r>
              <w:rPr>
                <w:rFonts w:eastAsia="Batang"/>
                <w:b/>
                <w:bCs/>
                <w:szCs w:val="24"/>
                <w:lang w:val="en-GB" w:eastAsia="ja-JP"/>
              </w:rPr>
              <w:t>Conclusion</w:t>
            </w:r>
            <w:r>
              <w:rPr>
                <w:rFonts w:eastAsia="Batang"/>
                <w:szCs w:val="24"/>
                <w:lang w:val="en-GB" w:eastAsia="ja-JP"/>
              </w:rPr>
              <w:t xml:space="preserve"> </w:t>
            </w:r>
          </w:p>
          <w:p>
            <w:pPr>
              <w:snapToGrid w:val="0"/>
              <w:spacing w:after="0" w:line="240" w:lineRule="auto"/>
              <w:rPr>
                <w:rFonts w:eastAsia="Batang"/>
                <w:szCs w:val="24"/>
                <w:lang w:val="en-GB" w:eastAsia="en-US"/>
              </w:rPr>
            </w:pPr>
            <w:r>
              <w:rPr>
                <w:rFonts w:eastAsia="Batang"/>
                <w:szCs w:val="24"/>
                <w:lang w:val="en-GB" w:eastAsia="en-US"/>
              </w:rPr>
              <w:t>On Rel.17 unified TCI framework, in case of separate DL/UL TCI, it is up to RAN2 whether UL TCI shares the same TCI state pool as joint DL/UL TCI or UL TCI uses a separate TCI state pool from joint DL/UL TCI</w:t>
            </w:r>
          </w:p>
          <w:p>
            <w:pPr>
              <w:numPr>
                <w:ilvl w:val="0"/>
                <w:numId w:val="8"/>
              </w:numPr>
              <w:snapToGrid w:val="0"/>
              <w:spacing w:after="0" w:line="240" w:lineRule="auto"/>
              <w:rPr>
                <w:rFonts w:eastAsia="微软雅黑"/>
                <w:szCs w:val="20"/>
              </w:rPr>
            </w:pPr>
            <w:r>
              <w:rPr>
                <w:rFonts w:eastAsia="Batang"/>
                <w:szCs w:val="24"/>
                <w:lang w:val="en-GB" w:eastAsia="en-US"/>
              </w:rPr>
              <w:t>Note: By previous agreements, DL TCI shares the same TCI state pool as joint DL/UL TCI</w:t>
            </w:r>
          </w:p>
          <w:p>
            <w:pPr>
              <w:snapToGrid w:val="0"/>
              <w:spacing w:after="0" w:line="240" w:lineRule="auto"/>
              <w:rPr>
                <w:rFonts w:eastAsia="微软雅黑"/>
                <w:szCs w:val="20"/>
              </w:rPr>
            </w:pPr>
          </w:p>
          <w:p>
            <w:pPr>
              <w:snapToGrid w:val="0"/>
              <w:spacing w:after="0" w:line="240" w:lineRule="auto"/>
              <w:jc w:val="both"/>
              <w:rPr>
                <w:rFonts w:ascii="Times" w:hAnsi="Times" w:eastAsia="Batang"/>
                <w:szCs w:val="24"/>
                <w:lang w:val="en-GB" w:eastAsia="en-US"/>
              </w:rPr>
            </w:pPr>
            <w:r>
              <w:rPr>
                <w:rFonts w:ascii="Times" w:hAnsi="Times" w:eastAsia="Batang"/>
                <w:b/>
                <w:szCs w:val="24"/>
                <w:lang w:val="en-GB" w:eastAsia="en-US"/>
              </w:rPr>
              <w:t>Agreement</w:t>
            </w:r>
          </w:p>
          <w:p>
            <w:pPr>
              <w:snapToGrid w:val="0"/>
              <w:spacing w:after="0" w:line="240" w:lineRule="auto"/>
              <w:jc w:val="both"/>
              <w:rPr>
                <w:rFonts w:ascii="Times" w:hAnsi="Times" w:eastAsia="Batang"/>
                <w:szCs w:val="20"/>
                <w:lang w:val="en-GB" w:eastAsia="en-US"/>
              </w:rPr>
            </w:pPr>
            <w:r>
              <w:rPr>
                <w:rFonts w:ascii="Times" w:hAnsi="Times" w:eastAsia="Batang"/>
                <w:szCs w:val="20"/>
                <w:lang w:val="en-GB" w:eastAsia="en-US"/>
              </w:rPr>
              <w:t>On Rel.17 unified TCI framework, for Rel-17 unified TCI:</w:t>
            </w:r>
          </w:p>
          <w:p>
            <w:pPr>
              <w:numPr>
                <w:ilvl w:val="0"/>
                <w:numId w:val="9"/>
              </w:numPr>
              <w:snapToGrid w:val="0"/>
              <w:spacing w:after="0" w:line="240" w:lineRule="auto"/>
              <w:ind w:left="840" w:firstLine="0"/>
              <w:contextualSpacing/>
              <w:jc w:val="both"/>
              <w:rPr>
                <w:rFonts w:ascii="Times" w:hAnsi="Times" w:eastAsia="Batang"/>
                <w:szCs w:val="20"/>
                <w:lang w:val="en-GB" w:eastAsia="en-US"/>
              </w:rPr>
            </w:pPr>
            <w:r>
              <w:rPr>
                <w:rFonts w:ascii="Times" w:hAnsi="Times" w:eastAsia="Batang"/>
                <w:szCs w:val="20"/>
                <w:lang w:val="en-GB" w:eastAsia="en-US"/>
              </w:rPr>
              <w:t>For the number of codepoints in the TCI field for DCI-based beam indication (hence the number of codepoints activated via MAC-CE-based TCI state activation), the largest value is 8</w:t>
            </w:r>
          </w:p>
          <w:p>
            <w:pPr>
              <w:numPr>
                <w:ilvl w:val="0"/>
                <w:numId w:val="9"/>
              </w:numPr>
              <w:snapToGrid w:val="0"/>
              <w:spacing w:after="0" w:line="240" w:lineRule="auto"/>
              <w:ind w:left="840" w:firstLine="0"/>
              <w:contextualSpacing/>
              <w:jc w:val="both"/>
              <w:rPr>
                <w:rFonts w:eastAsia="微软雅黑"/>
                <w:szCs w:val="20"/>
              </w:rPr>
            </w:pPr>
            <w:r>
              <w:rPr>
                <w:rFonts w:ascii="Times" w:hAnsi="Times" w:eastAsia="Batang"/>
                <w:szCs w:val="20"/>
                <w:lang w:val="en-GB" w:eastAsia="en-US"/>
              </w:rPr>
              <w:t>Further discuss and finalize in RAN1#106bis-e: the largest number of configured TCI states (including joint TCI state(s), DL-only TCI state(s), and/or UL-only TCI state(s))</w:t>
            </w:r>
          </w:p>
          <w:p>
            <w:pPr>
              <w:snapToGrid w:val="0"/>
              <w:spacing w:after="0" w:line="240" w:lineRule="auto"/>
              <w:ind w:left="840"/>
              <w:contextualSpacing/>
              <w:jc w:val="both"/>
              <w:rPr>
                <w:rFonts w:eastAsia="微软雅黑"/>
                <w:szCs w:val="20"/>
              </w:rPr>
            </w:pPr>
          </w:p>
          <w:p>
            <w:pPr>
              <w:snapToGrid w:val="0"/>
              <w:spacing w:after="0" w:line="240" w:lineRule="auto"/>
              <w:rPr>
                <w:rFonts w:ascii="Times" w:hAnsi="Times" w:eastAsia="Batang"/>
                <w:szCs w:val="20"/>
                <w:lang w:val="en-GB" w:eastAsia="en-US"/>
              </w:rPr>
            </w:pPr>
            <w:r>
              <w:rPr>
                <w:rFonts w:ascii="Times" w:hAnsi="Times" w:eastAsia="Batang"/>
                <w:b/>
                <w:szCs w:val="20"/>
                <w:lang w:val="en-GB" w:eastAsia="en-US"/>
              </w:rPr>
              <w:t>Agreement</w:t>
            </w:r>
          </w:p>
          <w:p>
            <w:pPr>
              <w:snapToGrid w:val="0"/>
              <w:spacing w:after="0" w:line="240" w:lineRule="auto"/>
              <w:jc w:val="both"/>
              <w:rPr>
                <w:rFonts w:eastAsia="Batang"/>
                <w:szCs w:val="24"/>
                <w:lang w:val="en-GB" w:eastAsia="en-US"/>
              </w:rPr>
            </w:pPr>
            <w:r>
              <w:rPr>
                <w:rFonts w:eastAsia="Batang"/>
                <w:szCs w:val="24"/>
                <w:lang w:val="en-GB" w:eastAsia="en-US"/>
              </w:rPr>
              <w:t xml:space="preserve">On Rel.17 unified TCI framework, for Rel-17 unified TCI, the largest number of configured TCI states is given as follows (following Rel-15/16 principles): </w:t>
            </w:r>
          </w:p>
          <w:p>
            <w:pPr>
              <w:numPr>
                <w:ilvl w:val="0"/>
                <w:numId w:val="10"/>
              </w:numPr>
              <w:snapToGrid w:val="0"/>
              <w:spacing w:after="0" w:line="240" w:lineRule="auto"/>
              <w:jc w:val="both"/>
              <w:rPr>
                <w:rFonts w:eastAsia="Batang"/>
                <w:szCs w:val="24"/>
                <w:lang w:val="en-GB" w:eastAsia="en-US"/>
              </w:rPr>
            </w:pPr>
            <w:r>
              <w:rPr>
                <w:rFonts w:eastAsia="Batang"/>
                <w:szCs w:val="24"/>
                <w:lang w:val="en-GB" w:eastAsia="en-US"/>
              </w:rPr>
              <w:t>When a UE is configured with joint DL/UL TCI: the largest number of configured TCI states for joint DL/UL TCI state update is 128 per BWP per CC</w:t>
            </w:r>
          </w:p>
          <w:p>
            <w:pPr>
              <w:snapToGrid w:val="0"/>
              <w:spacing w:after="0" w:line="240" w:lineRule="auto"/>
              <w:rPr>
                <w:rFonts w:eastAsia="微软雅黑"/>
                <w:szCs w:val="20"/>
              </w:rPr>
            </w:pPr>
            <w:r>
              <w:rPr>
                <w:rFonts w:eastAsia="Batang"/>
                <w:szCs w:val="24"/>
                <w:lang w:val="en-GB" w:eastAsia="en-US"/>
              </w:rPr>
              <w:t>Further discuss and decide in RAN1#106bis-e when a UE is configured with separate DL/UL TCI</w:t>
            </w:r>
          </w:p>
        </w:tc>
      </w:tr>
    </w:tbl>
    <w:p>
      <w:pPr>
        <w:snapToGrid w:val="0"/>
        <w:spacing w:before="120" w:after="120" w:afterLines="50" w:line="300" w:lineRule="auto"/>
        <w:jc w:val="both"/>
        <w:rPr>
          <w:rFonts w:eastAsia="微软雅黑"/>
          <w:szCs w:val="20"/>
        </w:rPr>
      </w:pPr>
      <w:r>
        <w:rPr>
          <w:rFonts w:hint="eastAsia" w:eastAsia="微软雅黑"/>
          <w:szCs w:val="20"/>
        </w:rPr>
        <w:t xml:space="preserve">Regarding TCI state pool, we prefer a common pool for </w:t>
      </w:r>
      <w:r>
        <w:rPr>
          <w:rFonts w:eastAsia="微软雅黑"/>
          <w:szCs w:val="20"/>
        </w:rPr>
        <w:t>separate DL and UL TCI state indication</w:t>
      </w:r>
      <w:r>
        <w:rPr>
          <w:rFonts w:hint="eastAsia" w:eastAsia="微软雅黑"/>
          <w:szCs w:val="20"/>
        </w:rPr>
        <w:t xml:space="preserve"> for simplicity of RRC configuration. And </w:t>
      </w:r>
      <w:r>
        <w:rPr>
          <w:rFonts w:hint="eastAsia" w:eastAsia="宋体"/>
          <w:szCs w:val="24"/>
        </w:rPr>
        <w:t xml:space="preserve">from perspective of reality </w:t>
      </w:r>
      <w:r>
        <w:rPr>
          <w:rFonts w:hint="eastAsia" w:eastAsia="微软雅黑"/>
          <w:szCs w:val="20"/>
        </w:rPr>
        <w:t xml:space="preserve">we believe 128 is enough for </w:t>
      </w:r>
      <w:r>
        <w:rPr>
          <w:rFonts w:eastAsia="Batang"/>
          <w:szCs w:val="24"/>
          <w:lang w:val="en-GB" w:eastAsia="en-US"/>
        </w:rPr>
        <w:t xml:space="preserve">largest number of configured TCI states </w:t>
      </w:r>
      <w:r>
        <w:rPr>
          <w:rFonts w:hint="eastAsia" w:eastAsia="宋体"/>
          <w:szCs w:val="24"/>
        </w:rPr>
        <w:t>in a TCI state pool, either for a common pool or a separate pool for</w:t>
      </w:r>
      <w:r>
        <w:rPr>
          <w:rFonts w:eastAsia="Batang"/>
          <w:szCs w:val="24"/>
          <w:lang w:val="en-GB" w:eastAsia="en-US"/>
        </w:rPr>
        <w:t xml:space="preserve"> </w:t>
      </w:r>
      <w:r>
        <w:rPr>
          <w:rFonts w:hint="eastAsia" w:eastAsia="宋体"/>
          <w:szCs w:val="24"/>
        </w:rPr>
        <w:t xml:space="preserve">separate </w:t>
      </w:r>
      <w:r>
        <w:rPr>
          <w:rFonts w:eastAsia="Batang"/>
          <w:szCs w:val="24"/>
          <w:lang w:val="en-GB" w:eastAsia="en-US"/>
        </w:rPr>
        <w:t>DL/UL TCI state</w:t>
      </w:r>
      <w:r>
        <w:rPr>
          <w:rFonts w:hint="eastAsia" w:eastAsia="宋体"/>
          <w:szCs w:val="24"/>
        </w:rPr>
        <w:t xml:space="preserve"> indication/update. </w:t>
      </w:r>
    </w:p>
    <w:p>
      <w:pPr>
        <w:snapToGrid w:val="0"/>
        <w:spacing w:before="120" w:after="120" w:afterLines="50" w:line="300" w:lineRule="auto"/>
        <w:jc w:val="both"/>
        <w:rPr>
          <w:rFonts w:ascii="Times" w:hAnsi="Times" w:eastAsia="宋体" w:cs="Times"/>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1</w:t>
      </w:r>
      <w:r>
        <w:rPr>
          <w:rFonts w:eastAsia="微软雅黑"/>
          <w:b/>
          <w:i/>
          <w:szCs w:val="20"/>
          <w:lang w:val="en-GB"/>
        </w:rPr>
        <w:t>:</w:t>
      </w:r>
      <w:r>
        <w:rPr>
          <w:rFonts w:eastAsia="微软雅黑"/>
          <w:iCs/>
          <w:szCs w:val="20"/>
          <w:lang w:val="en-GB"/>
        </w:rPr>
        <w:t xml:space="preserve"> </w:t>
      </w:r>
      <w:r>
        <w:rPr>
          <w:rFonts w:hint="eastAsia" w:eastAsia="微软雅黑"/>
          <w:i/>
          <w:szCs w:val="20"/>
        </w:rPr>
        <w:t>The</w:t>
      </w:r>
      <w:r>
        <w:rPr>
          <w:rFonts w:eastAsia="微软雅黑"/>
          <w:i/>
          <w:szCs w:val="20"/>
        </w:rPr>
        <w:t xml:space="preserve"> maximum number of TCI states</w:t>
      </w:r>
      <w:r>
        <w:rPr>
          <w:rFonts w:hint="eastAsia" w:eastAsia="微软雅黑"/>
          <w:i/>
          <w:szCs w:val="20"/>
        </w:rPr>
        <w:t xml:space="preserve"> </w:t>
      </w:r>
      <w:r>
        <w:rPr>
          <w:rFonts w:eastAsia="微软雅黑"/>
          <w:i/>
          <w:szCs w:val="20"/>
        </w:rPr>
        <w:t xml:space="preserve">(including both DL TCI and UL TCI states) </w:t>
      </w:r>
      <w:r>
        <w:rPr>
          <w:rFonts w:hint="eastAsia" w:eastAsia="微软雅黑"/>
          <w:i/>
          <w:szCs w:val="20"/>
        </w:rPr>
        <w:t>in a TCI state pool</w:t>
      </w:r>
      <w:r>
        <w:rPr>
          <w:rFonts w:eastAsia="微软雅黑"/>
          <w:i/>
          <w:szCs w:val="20"/>
        </w:rPr>
        <w:t xml:space="preserve"> </w:t>
      </w:r>
      <w:r>
        <w:rPr>
          <w:rFonts w:ascii="Times" w:hAnsi="Times" w:eastAsia="宋体" w:cs="Times"/>
          <w:i/>
          <w:iCs/>
          <w:szCs w:val="20"/>
        </w:rPr>
        <w:t>configured</w:t>
      </w:r>
      <w:r>
        <w:rPr>
          <w:rFonts w:eastAsia="微软雅黑"/>
          <w:i/>
          <w:szCs w:val="20"/>
        </w:rPr>
        <w:t xml:space="preserve"> </w:t>
      </w:r>
      <w:r>
        <w:rPr>
          <w:rFonts w:hint="eastAsia" w:eastAsia="微软雅黑"/>
          <w:i/>
          <w:szCs w:val="20"/>
        </w:rPr>
        <w:t xml:space="preserve">with separate DL/UL TCI </w:t>
      </w:r>
      <w:r>
        <w:rPr>
          <w:rFonts w:eastAsia="微软雅黑"/>
          <w:i/>
          <w:szCs w:val="20"/>
        </w:rPr>
        <w:t xml:space="preserve">is </w:t>
      </w:r>
      <w:r>
        <w:rPr>
          <w:rFonts w:hint="eastAsia" w:eastAsia="微软雅黑"/>
          <w:i/>
          <w:szCs w:val="20"/>
        </w:rPr>
        <w:t>128 in Rel-17.</w:t>
      </w:r>
    </w:p>
    <w:p>
      <w:pPr>
        <w:numPr>
          <w:ilvl w:val="2"/>
          <w:numId w:val="7"/>
        </w:numPr>
        <w:tabs>
          <w:tab w:val="left" w:pos="7938"/>
          <w:tab w:val="clear" w:pos="720"/>
        </w:tabs>
        <w:snapToGrid w:val="0"/>
        <w:spacing w:before="240" w:after="120" w:afterLines="50" w:line="240" w:lineRule="auto"/>
        <w:ind w:left="607" w:hanging="607"/>
        <w:jc w:val="both"/>
        <w:outlineLvl w:val="2"/>
        <w:rPr>
          <w:b/>
          <w:bCs/>
          <w:sz w:val="21"/>
          <w:szCs w:val="21"/>
        </w:rPr>
      </w:pPr>
      <w:r>
        <w:rPr>
          <w:rFonts w:hint="eastAsia" w:eastAsia="宋体"/>
          <w:b/>
          <w:bCs/>
          <w:sz w:val="21"/>
          <w:szCs w:val="21"/>
        </w:rPr>
        <w:t xml:space="preserve">Source RS for </w:t>
      </w:r>
      <w:r>
        <w:rPr>
          <w:rFonts w:eastAsia="宋体"/>
          <w:b/>
          <w:bCs/>
          <w:sz w:val="21"/>
          <w:szCs w:val="21"/>
        </w:rPr>
        <w:t>DL</w:t>
      </w:r>
      <w:r>
        <w:rPr>
          <w:rFonts w:hint="eastAsia" w:eastAsia="宋体"/>
          <w:b/>
          <w:bCs/>
          <w:sz w:val="21"/>
          <w:szCs w:val="21"/>
        </w:rPr>
        <w:t xml:space="preserve"> TCI state</w:t>
      </w:r>
    </w:p>
    <w:p>
      <w:pPr>
        <w:pStyle w:val="109"/>
        <w:overflowPunct w:val="0"/>
        <w:autoSpaceDE w:val="0"/>
        <w:autoSpaceDN w:val="0"/>
        <w:adjustRightInd w:val="0"/>
        <w:snapToGrid w:val="0"/>
        <w:spacing w:before="60" w:beforeLines="25" w:after="60" w:afterLines="25" w:line="300" w:lineRule="auto"/>
        <w:ind w:firstLine="0" w:firstLineChars="0"/>
        <w:jc w:val="both"/>
        <w:textAlignment w:val="baseline"/>
        <w:rPr>
          <w:rFonts w:ascii="Times" w:hAnsi="Times" w:eastAsia="宋体" w:cs="Times"/>
          <w:i/>
          <w:szCs w:val="20"/>
          <w:highlight w:val="cyan"/>
          <w:lang w:val="en-GB"/>
        </w:rPr>
      </w:pPr>
      <w:r>
        <w:rPr>
          <w:rFonts w:hint="eastAsia" w:eastAsia="宋体"/>
        </w:rPr>
        <w:t>It has been discussed several times about whether more RS types can be allowed as source RS for DL and UL TCI state in Rel-17. I</w:t>
      </w:r>
      <w:r>
        <w:rPr>
          <w:rFonts w:eastAsia="宋体"/>
        </w:rPr>
        <w:t>n</w:t>
      </w:r>
      <w:r>
        <w:rPr>
          <w:rFonts w:hint="eastAsia" w:eastAsia="宋体"/>
        </w:rPr>
        <w:t xml:space="preserve"> RAN1#106b-e, </w:t>
      </w:r>
      <w:r>
        <w:rPr>
          <w:rFonts w:eastAsia="宋体"/>
        </w:rPr>
        <w:t>the following</w:t>
      </w:r>
      <w:r>
        <w:rPr>
          <w:rFonts w:hint="eastAsia" w:eastAsia="宋体"/>
        </w:rPr>
        <w:t xml:space="preserve"> agreements were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jc w:val="both"/>
              <w:rPr>
                <w:rFonts w:ascii="Times" w:hAnsi="Times" w:eastAsia="Batang"/>
                <w:b/>
                <w:szCs w:val="24"/>
                <w:lang w:val="en-GB" w:eastAsia="en-US"/>
              </w:rPr>
            </w:pPr>
            <w:r>
              <w:rPr>
                <w:rFonts w:ascii="Times" w:hAnsi="Times" w:eastAsia="Batang"/>
                <w:b/>
                <w:szCs w:val="24"/>
                <w:lang w:val="en-GB" w:eastAsia="en-US"/>
              </w:rPr>
              <w:t>Agreement</w:t>
            </w:r>
          </w:p>
          <w:p>
            <w:pPr>
              <w:snapToGrid w:val="0"/>
              <w:spacing w:after="0" w:line="240" w:lineRule="auto"/>
              <w:jc w:val="both"/>
              <w:rPr>
                <w:rFonts w:ascii="Times" w:hAnsi="Times" w:eastAsia="Batang"/>
                <w:b/>
                <w:szCs w:val="24"/>
                <w:u w:val="single"/>
                <w:lang w:val="en-GB" w:eastAsia="en-US"/>
              </w:rPr>
            </w:pPr>
            <w:r>
              <w:rPr>
                <w:rFonts w:ascii="Times" w:hAnsi="Times" w:eastAsia="Batang"/>
                <w:szCs w:val="20"/>
                <w:lang w:val="en-GB" w:eastAsia="en-US"/>
              </w:rPr>
              <w:t>On Rel.17 unified TCI framework, for Rel-17 unified TCI:</w:t>
            </w:r>
          </w:p>
          <w:p>
            <w:pPr>
              <w:numPr>
                <w:ilvl w:val="0"/>
                <w:numId w:val="11"/>
              </w:numPr>
              <w:snapToGrid w:val="0"/>
              <w:spacing w:after="0" w:line="240" w:lineRule="auto"/>
              <w:jc w:val="both"/>
              <w:rPr>
                <w:rFonts w:ascii="Times" w:hAnsi="Times" w:eastAsia="Times New Roman"/>
                <w:szCs w:val="24"/>
                <w:lang w:val="en-GB" w:eastAsia="en-US"/>
              </w:rPr>
            </w:pPr>
            <w:r>
              <w:rPr>
                <w:rFonts w:ascii="Times" w:hAnsi="Times" w:eastAsia="Times New Roman"/>
                <w:bCs/>
                <w:szCs w:val="24"/>
                <w:lang w:val="en-GB" w:eastAsia="en-US"/>
              </w:rPr>
              <w:t xml:space="preserve">For DL channels/signals that do not share the same </w:t>
            </w:r>
            <w:r>
              <w:rPr>
                <w:rFonts w:ascii="Times" w:hAnsi="Times" w:eastAsia="Malgun Gothic"/>
                <w:szCs w:val="20"/>
                <w:lang w:val="en-GB" w:eastAsia="zh-TW"/>
              </w:rPr>
              <w:t>indicated Rel-17 TCI state as UE-dedicated reception on PDSCH/PDCCH</w:t>
            </w:r>
            <w:r>
              <w:rPr>
                <w:rFonts w:ascii="Times" w:hAnsi="Times" w:eastAsia="Times New Roman"/>
                <w:bCs/>
                <w:szCs w:val="24"/>
                <w:lang w:val="en-GB" w:eastAsia="en-US"/>
              </w:rPr>
              <w:t xml:space="preserve"> (via Rel-17 MAC-CE/DCI TCI state update), all the QCL rules defined in section 5.1.5 in 38.214 are supported</w:t>
            </w:r>
          </w:p>
          <w:p>
            <w:pPr>
              <w:numPr>
                <w:ilvl w:val="1"/>
                <w:numId w:val="11"/>
              </w:numPr>
              <w:snapToGrid w:val="0"/>
              <w:spacing w:after="0" w:line="240" w:lineRule="auto"/>
              <w:jc w:val="both"/>
              <w:rPr>
                <w:rFonts w:ascii="Times" w:hAnsi="Times" w:eastAsia="Times New Roman"/>
                <w:szCs w:val="24"/>
                <w:lang w:val="en-GB" w:eastAsia="en-US"/>
              </w:rPr>
            </w:pPr>
            <w:r>
              <w:rPr>
                <w:rFonts w:ascii="Times" w:hAnsi="Times" w:eastAsia="Times New Roman"/>
                <w:bCs/>
                <w:szCs w:val="24"/>
                <w:lang w:val="en-GB" w:eastAsia="en-US"/>
              </w:rPr>
              <w:t xml:space="preserve">Note: </w:t>
            </w:r>
            <w:bookmarkStart w:id="0" w:name="_Hlk84321626"/>
            <w:r>
              <w:rPr>
                <w:rFonts w:ascii="Times" w:hAnsi="Times" w:eastAsia="Times New Roman"/>
                <w:bCs/>
                <w:szCs w:val="24"/>
                <w:lang w:val="en-GB" w:eastAsia="en-US"/>
              </w:rPr>
              <w:t>For CSI-RS used to provide QCL indication for non-UE dedicated channels, the CSI-RS should only be QCLed with SSB of the same PCID as that from the serving cell</w:t>
            </w:r>
          </w:p>
          <w:bookmarkEnd w:id="0"/>
          <w:p>
            <w:pPr>
              <w:numPr>
                <w:ilvl w:val="0"/>
                <w:numId w:val="11"/>
              </w:numPr>
              <w:snapToGrid w:val="0"/>
              <w:spacing w:after="0" w:line="240" w:lineRule="auto"/>
              <w:jc w:val="both"/>
              <w:rPr>
                <w:rFonts w:ascii="Times" w:hAnsi="Times" w:eastAsia="Times New Roman"/>
                <w:szCs w:val="24"/>
                <w:lang w:val="en-GB" w:eastAsia="en-US"/>
              </w:rPr>
            </w:pPr>
            <w:r>
              <w:rPr>
                <w:rFonts w:ascii="Times" w:hAnsi="Times" w:eastAsia="Times New Roman"/>
                <w:bCs/>
                <w:szCs w:val="24"/>
                <w:lang w:val="en-GB" w:eastAsia="en-US"/>
              </w:rPr>
              <w:t xml:space="preserve">For DL channels/signals that share the same indicated </w:t>
            </w:r>
            <w:r>
              <w:rPr>
                <w:rFonts w:ascii="Times" w:hAnsi="Times" w:eastAsia="Malgun Gothic"/>
                <w:szCs w:val="20"/>
                <w:lang w:val="en-GB" w:eastAsia="zh-TW"/>
              </w:rPr>
              <w:t>Rel-17 TCI state as UE-dedicated reception on PDSCH/PDCCH</w:t>
            </w:r>
            <w:r>
              <w:rPr>
                <w:rFonts w:ascii="Times" w:hAnsi="Times" w:eastAsia="Times New Roman"/>
                <w:bCs/>
                <w:szCs w:val="24"/>
                <w:lang w:val="en-GB" w:eastAsia="en-US"/>
              </w:rPr>
              <w:t xml:space="preserve"> (via Rel-17 MAC-CE/DCI TCI state update), the following options on source RSs and QCL-Types are supported</w:t>
            </w:r>
          </w:p>
          <w:p>
            <w:pPr>
              <w:numPr>
                <w:ilvl w:val="1"/>
                <w:numId w:val="11"/>
              </w:numPr>
              <w:snapToGrid w:val="0"/>
              <w:spacing w:after="0" w:line="240" w:lineRule="auto"/>
              <w:jc w:val="both"/>
              <w:rPr>
                <w:rFonts w:ascii="Times" w:hAnsi="Times" w:eastAsia="Times New Roman"/>
                <w:szCs w:val="24"/>
                <w:lang w:val="en-GB" w:eastAsia="en-US"/>
              </w:rPr>
            </w:pPr>
            <w:r>
              <w:rPr>
                <w:rFonts w:ascii="Times" w:hAnsi="Times" w:eastAsia="Times New Roman"/>
                <w:bCs/>
                <w:szCs w:val="24"/>
                <w:lang w:val="en-GB" w:eastAsia="en-US"/>
              </w:rPr>
              <w:t>Option 1: TRS is configured for QCL-TypeA source RS and CSI-RS for BM is configured for QCL-TypeD source RS</w:t>
            </w:r>
          </w:p>
          <w:p>
            <w:pPr>
              <w:numPr>
                <w:ilvl w:val="1"/>
                <w:numId w:val="11"/>
              </w:numPr>
              <w:snapToGrid w:val="0"/>
              <w:spacing w:after="0" w:line="240" w:lineRule="auto"/>
              <w:jc w:val="both"/>
              <w:rPr>
                <w:rFonts w:ascii="Times" w:hAnsi="Times" w:eastAsia="Times New Roman"/>
                <w:szCs w:val="24"/>
                <w:lang w:val="en-GB" w:eastAsia="en-US"/>
              </w:rPr>
            </w:pPr>
            <w:r>
              <w:rPr>
                <w:rFonts w:ascii="Times" w:hAnsi="Times" w:eastAsia="Times New Roman"/>
                <w:bCs/>
                <w:szCs w:val="24"/>
                <w:lang w:val="en-GB" w:eastAsia="en-US"/>
              </w:rPr>
              <w:t>Option 2: TRS is configured for QCL-TypeA and QCL-TypeD source RS</w:t>
            </w:r>
          </w:p>
          <w:p>
            <w:pPr>
              <w:pStyle w:val="111"/>
              <w:numPr>
                <w:ilvl w:val="1"/>
                <w:numId w:val="11"/>
              </w:numPr>
              <w:snapToGrid w:val="0"/>
              <w:spacing w:after="0" w:line="240" w:lineRule="auto"/>
              <w:ind w:left="840" w:firstLine="0" w:firstLineChars="0"/>
              <w:jc w:val="both"/>
              <w:rPr>
                <w:rFonts w:ascii="Times" w:hAnsi="Times" w:eastAsia="Batang"/>
                <w:szCs w:val="24"/>
                <w:lang w:val="en-GB" w:eastAsia="en-US"/>
              </w:rPr>
            </w:pPr>
            <w:r>
              <w:rPr>
                <w:rFonts w:ascii="Times" w:hAnsi="Times" w:eastAsia="Batang"/>
                <w:szCs w:val="24"/>
                <w:lang w:val="en-GB" w:eastAsia="en-US"/>
              </w:rPr>
              <w:t xml:space="preserve">Note: For inter-cell beam management, SSB with PCID different from that from the serving cell can be used as a QCL Type-C/D source RS for CSI-RS for BM and/or TRS </w:t>
            </w:r>
          </w:p>
          <w:p>
            <w:pPr>
              <w:pStyle w:val="111"/>
              <w:numPr>
                <w:ilvl w:val="1"/>
                <w:numId w:val="11"/>
              </w:numPr>
              <w:snapToGrid w:val="0"/>
              <w:spacing w:after="0" w:line="240" w:lineRule="auto"/>
              <w:ind w:left="840" w:firstLine="0" w:firstLineChars="0"/>
              <w:jc w:val="both"/>
              <w:rPr>
                <w:rFonts w:ascii="Times" w:hAnsi="Times" w:eastAsia="宋体" w:cs="Times"/>
                <w:i/>
                <w:szCs w:val="20"/>
                <w:lang w:val="en-GB"/>
              </w:rPr>
            </w:pPr>
            <w:r>
              <w:rPr>
                <w:rFonts w:ascii="Times" w:hAnsi="Times" w:eastAsia="Batang"/>
                <w:szCs w:val="24"/>
                <w:lang w:val="en-GB" w:eastAsia="en-US"/>
              </w:rPr>
              <w:t>Further discuss and decide in RAN1#106bis-e whether CSI-RS for CSI can be used as a source RS or not, and if so whether some restriction(s) are needed</w:t>
            </w:r>
          </w:p>
          <w:p>
            <w:pPr>
              <w:spacing w:after="0" w:line="240" w:lineRule="auto"/>
              <w:rPr>
                <w:rFonts w:ascii="Times" w:hAnsi="Times" w:eastAsia="Batang" w:cs="Times"/>
                <w:szCs w:val="24"/>
                <w:lang w:val="en-GB" w:eastAsia="en-US"/>
              </w:rPr>
            </w:pPr>
            <w:r>
              <w:rPr>
                <w:rFonts w:ascii="Times" w:hAnsi="Times" w:eastAsia="Batang" w:cs="Times"/>
                <w:b/>
                <w:bCs/>
                <w:szCs w:val="24"/>
                <w:lang w:val="en-GB" w:eastAsia="en-US"/>
              </w:rPr>
              <w:t>Conclusion</w:t>
            </w:r>
          </w:p>
          <w:p>
            <w:pPr>
              <w:spacing w:after="0" w:line="240" w:lineRule="auto"/>
              <w:rPr>
                <w:rFonts w:ascii="Times" w:hAnsi="Times" w:eastAsia="Malgun Gothic" w:cs="Times"/>
                <w:sz w:val="16"/>
                <w:lang w:eastAsia="ko-KR"/>
              </w:rPr>
            </w:pPr>
            <w:r>
              <w:rPr>
                <w:rFonts w:ascii="Times" w:hAnsi="Times" w:eastAsia="Batang" w:cs="Times"/>
                <w:szCs w:val="24"/>
                <w:lang w:val="en-GB" w:eastAsia="en-US"/>
              </w:rPr>
              <w:t>On Rel.17 unified TCI framework, there is no consensus in supporting the following DL source RS type:</w:t>
            </w:r>
          </w:p>
          <w:p>
            <w:pPr>
              <w:numPr>
                <w:ilvl w:val="0"/>
                <w:numId w:val="12"/>
              </w:numPr>
              <w:spacing w:after="0" w:line="240" w:lineRule="auto"/>
              <w:rPr>
                <w:rFonts w:ascii="Times" w:hAnsi="Times" w:eastAsia="Times New Roman" w:cs="Times"/>
                <w:sz w:val="16"/>
                <w:szCs w:val="24"/>
                <w:lang w:val="en-GB" w:eastAsia="en-US"/>
              </w:rPr>
            </w:pPr>
            <w:r>
              <w:rPr>
                <w:rFonts w:ascii="Times" w:hAnsi="Times" w:eastAsia="Times New Roman" w:cs="Times"/>
                <w:szCs w:val="24"/>
                <w:lang w:val="en-GB" w:eastAsia="en-US"/>
              </w:rPr>
              <w:t>SSB as QCL Type-D source RS, with TRS as QCL Type-A source RS</w:t>
            </w:r>
          </w:p>
          <w:p>
            <w:pPr>
              <w:numPr>
                <w:ilvl w:val="0"/>
                <w:numId w:val="12"/>
              </w:numPr>
              <w:spacing w:after="0" w:line="240" w:lineRule="auto"/>
              <w:rPr>
                <w:rFonts w:ascii="Times" w:hAnsi="Times" w:eastAsia="宋体" w:cs="Times"/>
                <w:i/>
                <w:szCs w:val="20"/>
                <w:lang w:val="en-GB"/>
              </w:rPr>
            </w:pPr>
            <w:r>
              <w:rPr>
                <w:rFonts w:ascii="Times" w:hAnsi="Times" w:eastAsia="Times New Roman" w:cs="Times"/>
                <w:szCs w:val="24"/>
                <w:lang w:val="en-GB" w:eastAsia="en-US"/>
              </w:rPr>
              <w:t>SRS for BM as QCL Type-D source RS, optionally with TRS as QCL Type-A source RS</w:t>
            </w:r>
          </w:p>
        </w:tc>
      </w:tr>
    </w:tbl>
    <w:p>
      <w:pPr>
        <w:pStyle w:val="99"/>
        <w:snapToGrid w:val="0"/>
        <w:spacing w:before="60" w:beforeLines="25" w:after="60" w:afterLines="25" w:line="300" w:lineRule="auto"/>
        <w:ind w:firstLine="0" w:firstLineChars="0"/>
        <w:jc w:val="both"/>
        <w:rPr>
          <w:rFonts w:ascii="Times" w:hAnsi="Times" w:eastAsia="宋体" w:cs="Times"/>
          <w:i/>
          <w:szCs w:val="20"/>
        </w:rPr>
      </w:pPr>
      <w:r>
        <w:rPr>
          <w:rFonts w:hint="eastAsia" w:ascii="Times" w:hAnsi="Times" w:eastAsia="宋体" w:cs="Times"/>
          <w:iCs/>
          <w:szCs w:val="20"/>
        </w:rPr>
        <w:t xml:space="preserve">It is still FFS on </w:t>
      </w:r>
      <w:r>
        <w:rPr>
          <w:rFonts w:ascii="Times" w:hAnsi="Times" w:eastAsia="Batang"/>
          <w:color w:val="000000" w:themeColor="text1"/>
          <w:szCs w:val="24"/>
          <w:lang w:val="en-GB" w:eastAsia="en-US"/>
          <w14:textFill>
            <w14:solidFill>
              <w14:schemeClr w14:val="tx1"/>
            </w14:solidFill>
          </w14:textFill>
        </w:rPr>
        <w:t xml:space="preserve">whether CSI-RS for CSI </w:t>
      </w:r>
      <w:r>
        <w:rPr>
          <w:rFonts w:ascii="Times" w:hAnsi="Times" w:eastAsia="Batang"/>
          <w:szCs w:val="24"/>
          <w:lang w:val="en-GB" w:eastAsia="en-US"/>
        </w:rPr>
        <w:t>can be used as a source RS or not</w:t>
      </w:r>
      <w:r>
        <w:rPr>
          <w:rFonts w:hint="eastAsia" w:ascii="Times" w:hAnsi="Times" w:eastAsia="宋体"/>
          <w:szCs w:val="24"/>
        </w:rPr>
        <w:t xml:space="preserve">. Since </w:t>
      </w:r>
      <w:r>
        <w:rPr>
          <w:rFonts w:eastAsia="宋体"/>
        </w:rPr>
        <w:t xml:space="preserve">CSI-RS for CSI has already been supported </w:t>
      </w:r>
      <w:r>
        <w:rPr>
          <w:rFonts w:hint="eastAsia" w:eastAsia="宋体"/>
        </w:rPr>
        <w:t xml:space="preserve">as source RS according to </w:t>
      </w:r>
      <w:r>
        <w:rPr>
          <w:rFonts w:eastAsia="宋体"/>
        </w:rPr>
        <w:t>Rel-15/16 QCL rule</w:t>
      </w:r>
      <w:r>
        <w:rPr>
          <w:rFonts w:hint="eastAsia" w:eastAsia="宋体"/>
        </w:rPr>
        <w:t>, CSI-RS for CSI should be allowed to be source RS for DL TCI state in Rel-17 straightforwardly.</w:t>
      </w:r>
    </w:p>
    <w:p>
      <w:pPr>
        <w:snapToGrid w:val="0"/>
        <w:spacing w:before="60" w:beforeLines="25" w:after="60" w:afterLines="25" w:line="300" w:lineRule="auto"/>
        <w:ind w:left="40"/>
        <w:jc w:val="both"/>
        <w:rPr>
          <w:rFonts w:ascii="Times" w:hAnsi="Times" w:eastAsia="宋体" w:cs="Times"/>
          <w:i/>
          <w:szCs w:val="20"/>
          <w:highlight w:val="cyan"/>
          <w:lang w:val="en-GB"/>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2</w:t>
      </w:r>
      <w:r>
        <w:rPr>
          <w:rFonts w:eastAsia="微软雅黑"/>
          <w:b/>
          <w:i/>
          <w:szCs w:val="20"/>
          <w:lang w:val="en-GB"/>
        </w:rPr>
        <w:t>:</w:t>
      </w:r>
      <w:r>
        <w:rPr>
          <w:rFonts w:eastAsia="微软雅黑"/>
          <w:i/>
          <w:szCs w:val="20"/>
          <w:lang w:val="en-GB"/>
        </w:rPr>
        <w:t xml:space="preserve"> </w:t>
      </w:r>
      <w:r>
        <w:rPr>
          <w:rFonts w:hint="eastAsia" w:eastAsia="宋体"/>
          <w:i/>
        </w:rPr>
        <w:t>CSI-RS for CSI should be allowed to be source RS for DL TCI state in Rel-17.</w:t>
      </w:r>
    </w:p>
    <w:p>
      <w:pPr>
        <w:numPr>
          <w:ilvl w:val="2"/>
          <w:numId w:val="7"/>
        </w:numPr>
        <w:tabs>
          <w:tab w:val="left" w:pos="7938"/>
          <w:tab w:val="clear" w:pos="720"/>
        </w:tabs>
        <w:snapToGrid w:val="0"/>
        <w:spacing w:before="240" w:after="120" w:afterLines="50" w:line="240" w:lineRule="auto"/>
        <w:ind w:left="607" w:hanging="607"/>
        <w:jc w:val="both"/>
        <w:outlineLvl w:val="2"/>
        <w:rPr>
          <w:b/>
          <w:bCs/>
          <w:sz w:val="21"/>
          <w:szCs w:val="21"/>
        </w:rPr>
      </w:pPr>
      <w:r>
        <w:rPr>
          <w:rFonts w:hint="eastAsia" w:eastAsia="宋体"/>
          <w:b/>
          <w:bCs/>
          <w:sz w:val="21"/>
          <w:szCs w:val="21"/>
        </w:rPr>
        <w:t>Power control</w:t>
      </w:r>
      <w:r>
        <w:rPr>
          <w:rFonts w:eastAsia="宋体"/>
          <w:b/>
          <w:bCs/>
          <w:sz w:val="21"/>
          <w:szCs w:val="21"/>
        </w:rPr>
        <w:t xml:space="preserve"> for </w:t>
      </w:r>
      <w:r>
        <w:rPr>
          <w:rFonts w:hint="eastAsia" w:eastAsia="宋体"/>
          <w:b/>
          <w:bCs/>
          <w:sz w:val="21"/>
          <w:szCs w:val="21"/>
        </w:rPr>
        <w:t xml:space="preserve">UL </w:t>
      </w:r>
      <w:r>
        <w:rPr>
          <w:rFonts w:eastAsia="宋体"/>
          <w:b/>
          <w:bCs/>
          <w:sz w:val="21"/>
          <w:szCs w:val="21"/>
        </w:rPr>
        <w:t>TCI state</w:t>
      </w:r>
    </w:p>
    <w:p>
      <w:pPr>
        <w:pStyle w:val="99"/>
        <w:snapToGrid w:val="0"/>
        <w:spacing w:before="60" w:beforeLines="25" w:after="60" w:afterLines="25" w:line="300" w:lineRule="auto"/>
        <w:ind w:firstLine="0" w:firstLineChars="0"/>
        <w:jc w:val="both"/>
        <w:rPr>
          <w:rFonts w:eastAsia="微软雅黑"/>
          <w:szCs w:val="20"/>
        </w:rPr>
      </w:pPr>
      <w:r>
        <w:rPr>
          <w:rFonts w:hint="eastAsia" w:eastAsia="微软雅黑"/>
          <w:szCs w:val="20"/>
        </w:rPr>
        <w:t>Regarding power control for unified TCI state, there was an agreement as follows in RAN1#</w:t>
      </w:r>
      <w:r>
        <w:rPr>
          <w:rFonts w:eastAsia="微软雅黑"/>
          <w:szCs w:val="20"/>
        </w:rPr>
        <w:t>106</w:t>
      </w:r>
      <w:r>
        <w:rPr>
          <w:rFonts w:hint="eastAsia" w:eastAsia="微软雅黑"/>
          <w:szCs w:val="20"/>
        </w:rPr>
        <w:t>b</w:t>
      </w:r>
      <w:r>
        <w:rPr>
          <w:rFonts w:eastAsia="微软雅黑"/>
          <w:szCs w:val="20"/>
        </w:rPr>
        <w:t>-</w:t>
      </w:r>
      <w:r>
        <w:rPr>
          <w:rFonts w:hint="eastAsia" w:eastAsia="微软雅黑"/>
          <w:szCs w:val="20"/>
        </w:rPr>
        <w:t>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after="0" w:line="240" w:lineRule="auto"/>
              <w:rPr>
                <w:rFonts w:ascii="Times" w:hAnsi="Times" w:eastAsia="Batang"/>
                <w:szCs w:val="20"/>
                <w:highlight w:val="green"/>
                <w:lang w:val="en-GB" w:eastAsia="en-US"/>
              </w:rPr>
            </w:pPr>
            <w:r>
              <w:rPr>
                <w:rFonts w:ascii="Times" w:hAnsi="Times" w:eastAsia="Batang"/>
                <w:b/>
                <w:szCs w:val="20"/>
                <w:lang w:val="en-GB" w:eastAsia="en-US"/>
              </w:rPr>
              <w:t>Agreement</w:t>
            </w:r>
          </w:p>
          <w:p>
            <w:pPr>
              <w:spacing w:after="0" w:line="240" w:lineRule="auto"/>
              <w:rPr>
                <w:rFonts w:ascii="Times" w:hAnsi="Times" w:eastAsia="Batang" w:cs="Times"/>
                <w:szCs w:val="24"/>
                <w:lang w:val="en-GB" w:eastAsia="en-US"/>
              </w:rPr>
            </w:pPr>
            <w:r>
              <w:rPr>
                <w:rFonts w:ascii="Times" w:hAnsi="Times" w:eastAsia="Batang" w:cs="Times"/>
                <w:szCs w:val="24"/>
                <w:lang w:val="en-GB" w:eastAsia="en-US"/>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pPr>
              <w:pStyle w:val="111"/>
              <w:numPr>
                <w:ilvl w:val="0"/>
                <w:numId w:val="13"/>
              </w:numPr>
              <w:spacing w:after="0" w:line="240" w:lineRule="auto"/>
              <w:ind w:left="840" w:firstLine="0" w:firstLineChars="0"/>
              <w:rPr>
                <w:rFonts w:ascii="Times" w:hAnsi="Times" w:eastAsia="Batang"/>
                <w:bCs/>
                <w:szCs w:val="24"/>
                <w:lang w:val="en-GB" w:eastAsia="en-US"/>
              </w:rPr>
            </w:pPr>
            <w:r>
              <w:rPr>
                <w:rFonts w:ascii="Times" w:hAnsi="Times" w:eastAsia="Batang"/>
                <w:bCs/>
                <w:szCs w:val="24"/>
                <w:lang w:val="en-GB" w:eastAsia="en-US"/>
              </w:rPr>
              <w:t>FFS : MAC-CE based update for the closed loop index associated with UL or (if applicable) joint TCI  state</w:t>
            </w:r>
          </w:p>
          <w:p>
            <w:pPr>
              <w:pStyle w:val="111"/>
              <w:numPr>
                <w:ilvl w:val="0"/>
                <w:numId w:val="13"/>
              </w:numPr>
              <w:spacing w:after="0" w:line="240" w:lineRule="auto"/>
              <w:ind w:left="840" w:firstLine="0" w:firstLineChars="0"/>
              <w:rPr>
                <w:rFonts w:ascii="Times" w:hAnsi="Times" w:eastAsia="Batang"/>
                <w:bCs/>
                <w:szCs w:val="24"/>
                <w:lang w:val="en-GB" w:eastAsia="en-US"/>
              </w:rPr>
            </w:pPr>
            <w:r>
              <w:rPr>
                <w:rFonts w:ascii="Times" w:hAnsi="Times" w:eastAsia="Batang"/>
                <w:bCs/>
                <w:szCs w:val="24"/>
                <w:lang w:val="en-GB" w:eastAsia="en-US"/>
              </w:rPr>
              <w:t>Above is applicable for eMBB</w:t>
            </w:r>
          </w:p>
          <w:p>
            <w:pPr>
              <w:pStyle w:val="111"/>
              <w:numPr>
                <w:ilvl w:val="1"/>
                <w:numId w:val="13"/>
              </w:numPr>
              <w:spacing w:after="0" w:line="240" w:lineRule="auto"/>
              <w:ind w:left="840" w:firstLine="0" w:firstLineChars="0"/>
              <w:rPr>
                <w:rFonts w:ascii="Times" w:hAnsi="Times" w:eastAsia="宋体"/>
                <w:bCs/>
                <w:szCs w:val="24"/>
                <w:lang w:val="en-GB" w:eastAsia="en-US"/>
              </w:rPr>
            </w:pPr>
            <w:r>
              <w:rPr>
                <w:rFonts w:ascii="Times" w:hAnsi="Times" w:eastAsia="Batang"/>
                <w:bCs/>
                <w:szCs w:val="24"/>
                <w:lang w:val="en-GB" w:eastAsia="en-US"/>
              </w:rPr>
              <w:t>FFS : Details on power control setting for URLLC</w:t>
            </w:r>
          </w:p>
        </w:tc>
      </w:tr>
    </w:tbl>
    <w:p>
      <w:pPr>
        <w:pStyle w:val="99"/>
        <w:snapToGrid w:val="0"/>
        <w:spacing w:before="60" w:beforeLines="25" w:after="60" w:afterLines="25" w:line="300" w:lineRule="auto"/>
        <w:ind w:firstLine="0" w:firstLineChars="0"/>
        <w:jc w:val="both"/>
        <w:rPr>
          <w:rFonts w:ascii="Times" w:hAnsi="Times" w:eastAsia="宋体"/>
          <w:bCs/>
          <w:szCs w:val="24"/>
        </w:rPr>
      </w:pPr>
      <w:r>
        <w:rPr>
          <w:rFonts w:hint="eastAsia" w:eastAsia="微软雅黑"/>
          <w:szCs w:val="20"/>
        </w:rPr>
        <w:t xml:space="preserve">Regarding MAC-CE based update for the closed loop index associated with UL </w:t>
      </w:r>
      <w:r>
        <w:rPr>
          <w:rFonts w:ascii="Times" w:hAnsi="Times" w:eastAsia="Batang"/>
          <w:bCs/>
          <w:szCs w:val="24"/>
          <w:lang w:val="en-GB" w:eastAsia="en-US"/>
        </w:rPr>
        <w:t>or (if applicable) joint</w:t>
      </w:r>
      <w:r>
        <w:rPr>
          <w:rFonts w:hint="eastAsia" w:ascii="Times" w:hAnsi="Times" w:eastAsia="宋体"/>
          <w:bCs/>
          <w:szCs w:val="24"/>
        </w:rPr>
        <w:t xml:space="preserve"> </w:t>
      </w:r>
      <w:r>
        <w:rPr>
          <w:rFonts w:ascii="Times" w:hAnsi="Times" w:eastAsia="Batang"/>
          <w:bCs/>
          <w:szCs w:val="24"/>
          <w:lang w:val="en-GB" w:eastAsia="en-US"/>
        </w:rPr>
        <w:t>TCI state</w:t>
      </w:r>
      <w:r>
        <w:rPr>
          <w:rFonts w:hint="eastAsia" w:ascii="Times" w:hAnsi="Times" w:eastAsia="宋体"/>
          <w:bCs/>
          <w:szCs w:val="24"/>
        </w:rPr>
        <w:t xml:space="preserve">, we believe it is a useful mechanism and should be allowed with the following reasons. </w:t>
      </w:r>
    </w:p>
    <w:p>
      <w:pPr>
        <w:pStyle w:val="99"/>
        <w:numPr>
          <w:ilvl w:val="0"/>
          <w:numId w:val="14"/>
        </w:numPr>
        <w:snapToGrid w:val="0"/>
        <w:spacing w:before="60" w:beforeLines="25" w:after="60" w:afterLines="25" w:line="300" w:lineRule="auto"/>
        <w:ind w:hanging="360" w:firstLineChars="0"/>
        <w:jc w:val="both"/>
        <w:rPr>
          <w:rFonts w:eastAsia="微软雅黑"/>
          <w:szCs w:val="20"/>
        </w:rPr>
      </w:pPr>
      <w:r>
        <w:rPr>
          <w:rFonts w:eastAsia="微软雅黑"/>
          <w:szCs w:val="20"/>
        </w:rPr>
        <w:t>If the association is totally RRC pre</w:t>
      </w:r>
      <w:r>
        <w:rPr>
          <w:rFonts w:hint="eastAsia" w:eastAsia="微软雅黑"/>
          <w:szCs w:val="20"/>
        </w:rPr>
        <w:t>-</w:t>
      </w:r>
      <w:r>
        <w:rPr>
          <w:rFonts w:eastAsia="微软雅黑"/>
          <w:szCs w:val="20"/>
        </w:rPr>
        <w:t>configured</w:t>
      </w:r>
      <w:r>
        <w:rPr>
          <w:rFonts w:ascii="Times" w:hAnsi="Times" w:eastAsia="宋体"/>
          <w:bCs/>
          <w:szCs w:val="24"/>
        </w:rPr>
        <w:t xml:space="preserve">, the gNB has to </w:t>
      </w:r>
      <w:r>
        <w:rPr>
          <w:rFonts w:hint="eastAsia" w:ascii="Times" w:hAnsi="Times" w:eastAsia="宋体"/>
          <w:bCs/>
          <w:szCs w:val="24"/>
        </w:rPr>
        <w:t xml:space="preserve">associate either closed loop index 0 or closed loop index 1 with a TCI state for PUSCH or PUCCH </w:t>
      </w:r>
      <w:r>
        <w:rPr>
          <w:rFonts w:ascii="Times" w:hAnsi="Times" w:eastAsia="宋体"/>
          <w:bCs/>
          <w:szCs w:val="24"/>
        </w:rPr>
        <w:t xml:space="preserve">without considering </w:t>
      </w:r>
      <w:r>
        <w:rPr>
          <w:rFonts w:hint="eastAsia" w:ascii="Times" w:hAnsi="Times" w:eastAsia="宋体"/>
          <w:bCs/>
          <w:szCs w:val="24"/>
        </w:rPr>
        <w:t>latest measurements and reports.</w:t>
      </w:r>
      <w:r>
        <w:rPr>
          <w:rFonts w:eastAsia="微软雅黑"/>
          <w:szCs w:val="20"/>
        </w:rPr>
        <w:t xml:space="preserve"> The beam-specific closed loop procedure may not work well for dynamic beam switching</w:t>
      </w:r>
      <w:r>
        <w:rPr>
          <w:rFonts w:hint="eastAsia" w:eastAsia="微软雅黑"/>
          <w:szCs w:val="20"/>
        </w:rPr>
        <w:t xml:space="preserve">. </w:t>
      </w:r>
    </w:p>
    <w:p>
      <w:pPr>
        <w:pStyle w:val="99"/>
        <w:numPr>
          <w:ilvl w:val="0"/>
          <w:numId w:val="14"/>
        </w:numPr>
        <w:snapToGrid w:val="0"/>
        <w:spacing w:before="60" w:beforeLines="25" w:after="60" w:afterLines="25" w:line="300" w:lineRule="auto"/>
        <w:ind w:hanging="360" w:firstLineChars="0"/>
        <w:jc w:val="both"/>
        <w:rPr>
          <w:rFonts w:eastAsia="微软雅黑"/>
          <w:szCs w:val="20"/>
        </w:rPr>
      </w:pPr>
      <w:r>
        <w:rPr>
          <w:rFonts w:hint="eastAsia" w:ascii="Times" w:hAnsi="Times" w:eastAsia="宋体"/>
          <w:bCs/>
          <w:szCs w:val="24"/>
        </w:rPr>
        <w:t xml:space="preserve">With unified TCI framework, TCI state can be updated via DCI and/or MAC CE based on measurements and reports with high flexibility, and there should be a more flexible way for updating power control parameters than RRC reconfiguration, especially for closed loop power control index. </w:t>
      </w:r>
    </w:p>
    <w:p>
      <w:pPr>
        <w:numPr>
          <w:ilvl w:val="255"/>
          <w:numId w:val="0"/>
        </w:numPr>
        <w:snapToGrid w:val="0"/>
        <w:spacing w:before="60" w:beforeLines="25" w:after="60" w:afterLines="25" w:line="300" w:lineRule="auto"/>
        <w:ind w:left="40"/>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3</w:t>
      </w:r>
      <w:r>
        <w:rPr>
          <w:rFonts w:eastAsia="微软雅黑"/>
          <w:b/>
          <w:i/>
          <w:szCs w:val="20"/>
          <w:lang w:val="en-GB"/>
        </w:rPr>
        <w:t>:</w:t>
      </w:r>
      <w:r>
        <w:rPr>
          <w:rFonts w:eastAsia="微软雅黑"/>
          <w:i/>
          <w:szCs w:val="20"/>
          <w:lang w:val="en-GB"/>
        </w:rPr>
        <w:t xml:space="preserve"> </w:t>
      </w:r>
      <w:r>
        <w:rPr>
          <w:rFonts w:hint="eastAsia" w:eastAsia="微软雅黑"/>
          <w:i/>
          <w:szCs w:val="20"/>
          <w:lang w:val="en-GB"/>
        </w:rPr>
        <w:t>MAC-CE based update for the closed loop index associated with UL or (if applicable) joint TCI state</w:t>
      </w:r>
      <w:r>
        <w:rPr>
          <w:rFonts w:hint="eastAsia" w:eastAsia="微软雅黑"/>
          <w:i/>
          <w:szCs w:val="20"/>
        </w:rPr>
        <w:t xml:space="preserve"> should be supported</w:t>
      </w:r>
      <w:r>
        <w:rPr>
          <w:rFonts w:hint="eastAsia" w:eastAsia="宋体"/>
          <w:i/>
        </w:rPr>
        <w:t>.</w:t>
      </w:r>
    </w:p>
    <w:p>
      <w:pPr>
        <w:pStyle w:val="99"/>
        <w:snapToGrid w:val="0"/>
        <w:spacing w:before="60" w:beforeLines="25" w:after="60" w:afterLines="25" w:line="300" w:lineRule="auto"/>
        <w:ind w:firstLine="0" w:firstLineChars="0"/>
        <w:jc w:val="both"/>
        <w:rPr>
          <w:rFonts w:eastAsia="微软雅黑"/>
          <w:szCs w:val="20"/>
        </w:rPr>
      </w:pPr>
      <w:r>
        <w:rPr>
          <w:rFonts w:hint="eastAsia" w:eastAsia="微软雅黑"/>
          <w:szCs w:val="20"/>
        </w:rPr>
        <w:t>Besides, regarding definition of beam alignment, it was agreed in a previous meeting that</w:t>
      </w:r>
      <w:r>
        <w:rPr>
          <w:rFonts w:eastAsia="微软雅黑"/>
          <w:szCs w:val="20"/>
        </w:rPr>
        <w:t xml:space="preserve"> PL-RS is identical to the spatial relation RS in the UL or (if applicable) joint TCI state. </w:t>
      </w:r>
      <w:r>
        <w:rPr>
          <w:rFonts w:hint="eastAsia" w:eastAsia="微软雅黑"/>
          <w:szCs w:val="20"/>
        </w:rPr>
        <w:t>However</w:t>
      </w:r>
      <w:r>
        <w:rPr>
          <w:rFonts w:eastAsia="微软雅黑"/>
          <w:szCs w:val="20"/>
        </w:rPr>
        <w:t xml:space="preserve">, </w:t>
      </w:r>
      <w:r>
        <w:rPr>
          <w:rFonts w:hint="eastAsia" w:eastAsia="微软雅黑"/>
          <w:szCs w:val="20"/>
        </w:rPr>
        <w:t xml:space="preserve">it was discussed whether more rules can be added, such </w:t>
      </w:r>
      <w:r>
        <w:rPr>
          <w:rFonts w:eastAsia="微软雅黑"/>
          <w:szCs w:val="20"/>
        </w:rPr>
        <w:t>as follow</w:t>
      </w:r>
      <w:r>
        <w:rPr>
          <w:rFonts w:hint="eastAsia" w:eastAsia="微软雅黑"/>
          <w:szCs w:val="20"/>
        </w:rPr>
        <w:t>s</w:t>
      </w:r>
      <w:r>
        <w:rPr>
          <w:rFonts w:eastAsia="微软雅黑"/>
          <w:szCs w:val="20"/>
        </w:rPr>
        <w:t>:</w:t>
      </w:r>
    </w:p>
    <w:p>
      <w:pPr>
        <w:numPr>
          <w:ilvl w:val="0"/>
          <w:numId w:val="15"/>
        </w:numPr>
        <w:snapToGrid w:val="0"/>
        <w:spacing w:before="60" w:beforeLines="25" w:after="120" w:afterLines="50" w:line="300" w:lineRule="auto"/>
        <w:ind w:left="0" w:firstLine="0"/>
        <w:jc w:val="both"/>
        <w:rPr>
          <w:rFonts w:eastAsia="微软雅黑"/>
          <w:szCs w:val="20"/>
        </w:rPr>
      </w:pPr>
      <w:r>
        <w:rPr>
          <w:rFonts w:eastAsia="微软雅黑"/>
          <w:szCs w:val="20"/>
        </w:rPr>
        <w:t xml:space="preserve">QCL Type-D RS of PL-RS is identical to the UL TCI spatial relation RS, </w:t>
      </w:r>
    </w:p>
    <w:p>
      <w:pPr>
        <w:numPr>
          <w:ilvl w:val="0"/>
          <w:numId w:val="15"/>
        </w:numPr>
        <w:snapToGrid w:val="0"/>
        <w:spacing w:before="60" w:beforeLines="25" w:after="120" w:afterLines="50" w:line="300" w:lineRule="auto"/>
        <w:ind w:left="0" w:firstLine="0"/>
        <w:jc w:val="both"/>
        <w:rPr>
          <w:rFonts w:eastAsia="微软雅黑"/>
          <w:szCs w:val="20"/>
        </w:rPr>
      </w:pPr>
      <w:r>
        <w:rPr>
          <w:rFonts w:eastAsia="微软雅黑"/>
          <w:szCs w:val="20"/>
        </w:rPr>
        <w:t xml:space="preserve">QCL Type-D RS of PL-RS is identical to the QCL Type-D RS of UL TCI spatial relation RS. </w:t>
      </w:r>
    </w:p>
    <w:p>
      <w:pPr>
        <w:pStyle w:val="99"/>
        <w:snapToGrid w:val="0"/>
        <w:spacing w:before="60" w:beforeLines="25" w:after="60" w:afterLines="25" w:line="300" w:lineRule="auto"/>
        <w:ind w:firstLine="0" w:firstLineChars="0"/>
        <w:jc w:val="both"/>
        <w:rPr>
          <w:rFonts w:eastAsia="微软雅黑"/>
          <w:szCs w:val="20"/>
        </w:rPr>
      </w:pPr>
      <w:r>
        <w:rPr>
          <w:rFonts w:eastAsia="微软雅黑"/>
          <w:szCs w:val="20"/>
        </w:rPr>
        <w:t>In our views, we prefer to simplify the definition of beam alignment. In general, based on QCL definition, the gNB/UE still can use different Tx/Rx beams for PL-RS and target channels/RSs applied by TCI state under the above two cases (like beam refinement). Therefore, we do not identify the necessity of further introducing above cases into the events of ‘beam alignment’.</w:t>
      </w:r>
    </w:p>
    <w:p>
      <w:pPr>
        <w:pStyle w:val="99"/>
        <w:snapToGrid w:val="0"/>
        <w:spacing w:before="60" w:beforeLines="25" w:after="60" w:afterLines="25" w:line="300" w:lineRule="auto"/>
        <w:ind w:firstLine="0" w:firstLineChars="0"/>
        <w:jc w:val="both"/>
        <w:rPr>
          <w:rFonts w:ascii="Times" w:hAnsi="Times" w:eastAsia="宋体" w:cs="Times"/>
          <w:i/>
          <w:iCs/>
          <w:szCs w:val="20"/>
        </w:rPr>
      </w:pPr>
      <w:r>
        <w:rPr>
          <w:rFonts w:eastAsia="微软雅黑"/>
          <w:b/>
          <w:bCs/>
          <w:i/>
          <w:iCs/>
          <w:szCs w:val="20"/>
        </w:rPr>
        <w:t>Proposal</w:t>
      </w:r>
      <w:r>
        <w:rPr>
          <w:rFonts w:hint="eastAsia" w:eastAsia="微软雅黑"/>
          <w:b/>
          <w:bCs/>
          <w:i/>
          <w:iCs/>
          <w:szCs w:val="20"/>
        </w:rPr>
        <w:t xml:space="preserve"> </w:t>
      </w:r>
      <w:r>
        <w:rPr>
          <w:rFonts w:hint="eastAsia" w:eastAsia="微软雅黑"/>
          <w:b/>
          <w:bCs/>
          <w:i/>
          <w:iCs/>
          <w:szCs w:val="20"/>
          <w:lang w:val="en-US" w:eastAsia="zh-CN"/>
        </w:rPr>
        <w:t>4</w:t>
      </w:r>
      <w:r>
        <w:rPr>
          <w:rFonts w:hint="eastAsia" w:eastAsia="微软雅黑"/>
          <w:i/>
          <w:iCs/>
          <w:szCs w:val="20"/>
        </w:rPr>
        <w:t xml:space="preserve">: </w:t>
      </w:r>
      <w:r>
        <w:rPr>
          <w:rFonts w:ascii="Times" w:hAnsi="Times" w:eastAsia="宋体" w:cs="Times"/>
          <w:i/>
          <w:iCs/>
          <w:szCs w:val="20"/>
        </w:rPr>
        <w:t>Regarding UE capability of “beam alignment”, no more additional event is further introduced except that the PL-RS is identical to the spatial relation RS in the UL or (if applicable) joint TCI state.</w:t>
      </w:r>
    </w:p>
    <w:p>
      <w:pPr>
        <w:widowControl w:val="0"/>
        <w:numPr>
          <w:ilvl w:val="2"/>
          <w:numId w:val="7"/>
        </w:numPr>
        <w:tabs>
          <w:tab w:val="left" w:pos="7938"/>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Common beam update</w:t>
      </w:r>
      <w:r>
        <w:rPr>
          <w:rFonts w:eastAsia="宋体"/>
          <w:b/>
          <w:bCs/>
          <w:sz w:val="21"/>
          <w:szCs w:val="21"/>
        </w:rPr>
        <w:t xml:space="preserve"> cross carriers</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In previous</w:t>
      </w:r>
      <w:r>
        <w:rPr>
          <w:rFonts w:eastAsia="微软雅黑"/>
          <w:szCs w:val="20"/>
        </w:rPr>
        <w:t xml:space="preserve"> </w:t>
      </w:r>
      <w:r>
        <w:rPr>
          <w:rFonts w:hint="eastAsia" w:eastAsia="微软雅黑"/>
          <w:szCs w:val="20"/>
        </w:rPr>
        <w:t xml:space="preserve">meetings, </w:t>
      </w:r>
      <w:r>
        <w:rPr>
          <w:rFonts w:eastAsia="微软雅黑"/>
          <w:szCs w:val="20"/>
        </w:rPr>
        <w:t xml:space="preserve">a general framework for </w:t>
      </w:r>
      <w:r>
        <w:rPr>
          <w:rFonts w:hint="eastAsia" w:eastAsia="微软雅黑"/>
          <w:szCs w:val="20"/>
        </w:rPr>
        <w:t>common DL/UL beam indication cross carriers (CCs) under the unified TCI framework was</w:t>
      </w:r>
      <w:r>
        <w:rPr>
          <w:rFonts w:eastAsia="微软雅黑"/>
          <w:szCs w:val="20"/>
        </w:rPr>
        <w:t xml:space="preserve"> </w:t>
      </w:r>
      <w:r>
        <w:rPr>
          <w:rFonts w:hint="eastAsia" w:eastAsia="微软雅黑"/>
          <w:szCs w:val="20"/>
        </w:rPr>
        <w:t>agreed</w:t>
      </w:r>
      <w:r>
        <w:rPr>
          <w:rFonts w:eastAsia="微软雅黑"/>
          <w:szCs w:val="20"/>
        </w:rPr>
        <w:t xml:space="preserve">. </w:t>
      </w:r>
      <w:r>
        <w:rPr>
          <w:rFonts w:hint="eastAsia" w:eastAsia="微软雅黑"/>
          <w:szCs w:val="20"/>
        </w:rPr>
        <w:t xml:space="preserve">And how </w:t>
      </w:r>
      <w:r>
        <w:rPr>
          <w:rFonts w:eastAsia="微软雅黑"/>
          <w:szCs w:val="20"/>
        </w:rPr>
        <w:t>to</w:t>
      </w:r>
      <w:r>
        <w:rPr>
          <w:rFonts w:hint="eastAsia" w:eastAsia="微软雅黑"/>
          <w:szCs w:val="20"/>
        </w:rPr>
        <w:t xml:space="preserve"> contain</w:t>
      </w:r>
      <w:r>
        <w:rPr>
          <w:rFonts w:eastAsia="微软雅黑"/>
          <w:szCs w:val="20"/>
        </w:rPr>
        <w:t xml:space="preserve"> the</w:t>
      </w:r>
      <w:r>
        <w:rPr>
          <w:rFonts w:hint="eastAsia" w:eastAsia="微软雅黑"/>
          <w:szCs w:val="20"/>
        </w:rPr>
        <w:t xml:space="preserve"> reference</w:t>
      </w:r>
      <w:r>
        <w:rPr>
          <w:rFonts w:eastAsia="微软雅黑"/>
          <w:szCs w:val="20"/>
        </w:rPr>
        <w:t xml:space="preserve"> to RRC-level TCI state pool</w:t>
      </w:r>
      <w:r>
        <w:rPr>
          <w:rFonts w:hint="eastAsia" w:eastAsia="微软雅黑"/>
          <w:szCs w:val="20"/>
        </w:rPr>
        <w:t xml:space="preserve"> is up to RAN2 based on </w:t>
      </w:r>
      <w:r>
        <w:rPr>
          <w:rFonts w:eastAsia="微软雅黑"/>
          <w:szCs w:val="20"/>
        </w:rPr>
        <w:t xml:space="preserve">the following </w:t>
      </w:r>
      <w:r>
        <w:rPr>
          <w:rFonts w:hint="eastAsia" w:eastAsia="微软雅黑"/>
          <w:szCs w:val="20"/>
        </w:rPr>
        <w:t xml:space="preserve">agreement. </w:t>
      </w:r>
      <w:r>
        <w:rPr>
          <w:rFonts w:eastAsia="微软雅黑"/>
          <w:szCs w:val="20"/>
        </w:rPr>
        <w:t>In this subsection, we further discuss the remaining issues.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jc w:val="both"/>
              <w:rPr>
                <w:rFonts w:ascii="Times" w:hAnsi="Times" w:eastAsia="Batang"/>
                <w:b/>
                <w:szCs w:val="24"/>
                <w:lang w:val="en-GB" w:eastAsia="en-US"/>
              </w:rPr>
            </w:pPr>
            <w:r>
              <w:rPr>
                <w:rFonts w:ascii="Times" w:hAnsi="Times" w:eastAsia="Batang"/>
                <w:b/>
                <w:szCs w:val="24"/>
                <w:lang w:val="en-GB" w:eastAsia="en-US"/>
              </w:rPr>
              <w:t>Agreement</w:t>
            </w:r>
          </w:p>
          <w:p>
            <w:pPr>
              <w:snapToGrid w:val="0"/>
              <w:spacing w:after="0" w:line="240" w:lineRule="auto"/>
              <w:jc w:val="both"/>
              <w:rPr>
                <w:rFonts w:ascii="Times" w:hAnsi="Times" w:eastAsia="Batang"/>
                <w:szCs w:val="24"/>
                <w:lang w:val="en-GB" w:eastAsia="en-US"/>
              </w:rPr>
            </w:pPr>
            <w:r>
              <w:rPr>
                <w:rFonts w:ascii="Times" w:hAnsi="Times" w:eastAsia="Batang"/>
                <w:szCs w:val="24"/>
                <w:lang w:val="en-GB" w:eastAsia="en-US"/>
              </w:rPr>
              <w:t xml:space="preserve">On </w:t>
            </w:r>
            <w:r>
              <w:rPr>
                <w:rFonts w:ascii="Times" w:hAnsi="Times" w:eastAsia="Batang"/>
                <w:szCs w:val="20"/>
                <w:lang w:val="en-GB" w:eastAsia="en-US"/>
              </w:rPr>
              <w:t xml:space="preserve">Rel.17 unified TCI framework, regarding the common TCI state ID update and activation for CA, </w:t>
            </w:r>
          </w:p>
          <w:p>
            <w:pPr>
              <w:pStyle w:val="111"/>
              <w:numPr>
                <w:ilvl w:val="0"/>
                <w:numId w:val="16"/>
              </w:numPr>
              <w:snapToGrid w:val="0"/>
              <w:spacing w:after="0" w:line="240" w:lineRule="auto"/>
              <w:ind w:left="840" w:firstLine="0" w:firstLineChars="0"/>
              <w:jc w:val="both"/>
              <w:rPr>
                <w:rFonts w:ascii="Times" w:hAnsi="Times" w:eastAsia="Batang"/>
                <w:color w:val="000000"/>
                <w:szCs w:val="20"/>
                <w:lang w:val="en-GB" w:eastAsia="en-US"/>
              </w:rPr>
            </w:pPr>
            <w:r>
              <w:rPr>
                <w:rFonts w:ascii="Times" w:hAnsi="Times" w:eastAsia="Batang"/>
                <w:szCs w:val="24"/>
                <w:lang w:val="en-GB" w:eastAsia="en-US"/>
              </w:rPr>
              <w:t>The details on how the PDSCH configuration (for each of those CCs/BWPs) contains a reference to the RRC-configured TCI state pool(s) in a reference BWP/CC are up to RAN2</w:t>
            </w:r>
          </w:p>
        </w:tc>
      </w:tr>
    </w:tbl>
    <w:p>
      <w:pPr>
        <w:pStyle w:val="99"/>
        <w:snapToGrid w:val="0"/>
        <w:spacing w:before="60" w:beforeLines="25" w:after="60" w:afterLines="25" w:line="300" w:lineRule="auto"/>
        <w:ind w:firstLine="0" w:firstLineChars="0"/>
        <w:jc w:val="both"/>
        <w:rPr>
          <w:rFonts w:eastAsia="宋体"/>
          <w:iCs/>
        </w:rPr>
      </w:pPr>
      <w:r>
        <w:rPr>
          <w:rFonts w:eastAsia="宋体"/>
          <w:iCs/>
        </w:rPr>
        <w:t xml:space="preserve">For saving RRC overhead of PL-RS configuration, the above reference mechanism can be further introduced for PL-RS configuration in our views. </w:t>
      </w:r>
      <w:r>
        <w:rPr>
          <w:rFonts w:hint="eastAsia" w:eastAsia="宋体"/>
          <w:iCs/>
        </w:rPr>
        <w:t xml:space="preserve">Considering TCI state pool may be configured in a DL BWP/CC, and PL-RS pool may be configured in a UL BWP/CC, BWP/CC index for the PL-RS pool should be explicitly indicated. A reference BWP/CC ID for PL-RS pool should be indicated per </w:t>
      </w:r>
      <w:r>
        <w:rPr>
          <w:rFonts w:eastAsia="宋体"/>
          <w:iCs/>
        </w:rPr>
        <w:t>UL BWP/CC</w:t>
      </w:r>
      <w:r>
        <w:rPr>
          <w:rFonts w:hint="eastAsia" w:eastAsia="宋体"/>
          <w:iCs/>
        </w:rPr>
        <w:t xml:space="preserve">. </w:t>
      </w:r>
    </w:p>
    <w:p>
      <w:pPr>
        <w:pStyle w:val="99"/>
        <w:snapToGrid w:val="0"/>
        <w:spacing w:before="60" w:beforeLines="25" w:after="60" w:afterLines="25" w:line="300" w:lineRule="auto"/>
        <w:ind w:firstLine="0" w:firstLineChars="0"/>
        <w:jc w:val="both"/>
        <w:rPr>
          <w:rFonts w:eastAsia="微软雅黑"/>
          <w:i/>
          <w:iCs/>
          <w:szCs w:val="20"/>
        </w:rPr>
      </w:pPr>
      <w:r>
        <w:rPr>
          <w:rFonts w:hint="eastAsia" w:eastAsia="微软雅黑"/>
          <w:b/>
          <w:bCs/>
          <w:i/>
          <w:iCs/>
          <w:szCs w:val="20"/>
        </w:rPr>
        <w:t>Proposal</w:t>
      </w:r>
      <w:r>
        <w:rPr>
          <w:rFonts w:eastAsia="微软雅黑"/>
          <w:b/>
          <w:bCs/>
          <w:i/>
          <w:iCs/>
          <w:szCs w:val="20"/>
        </w:rPr>
        <w:t xml:space="preserve"> </w:t>
      </w:r>
      <w:r>
        <w:rPr>
          <w:rFonts w:hint="eastAsia" w:eastAsia="微软雅黑"/>
          <w:b/>
          <w:bCs/>
          <w:i/>
          <w:iCs/>
          <w:szCs w:val="20"/>
          <w:lang w:val="en-US" w:eastAsia="zh-CN"/>
        </w:rPr>
        <w:t>5</w:t>
      </w:r>
      <w:r>
        <w:rPr>
          <w:rFonts w:hint="eastAsia" w:eastAsia="微软雅黑"/>
          <w:b/>
          <w:bCs/>
          <w:i/>
          <w:iCs/>
          <w:szCs w:val="20"/>
        </w:rPr>
        <w:t>:</w:t>
      </w:r>
      <w:r>
        <w:rPr>
          <w:rFonts w:eastAsia="微软雅黑"/>
          <w:b/>
          <w:bCs/>
          <w:i/>
          <w:iCs/>
          <w:szCs w:val="20"/>
        </w:rPr>
        <w:t xml:space="preserve"> </w:t>
      </w:r>
      <w:r>
        <w:rPr>
          <w:rFonts w:eastAsia="微软雅黑"/>
          <w:i/>
          <w:iCs/>
          <w:szCs w:val="20"/>
        </w:rPr>
        <w:t xml:space="preserve">Common RRC-level </w:t>
      </w:r>
      <w:r>
        <w:rPr>
          <w:rFonts w:hint="eastAsia" w:eastAsia="微软雅黑"/>
          <w:i/>
          <w:iCs/>
          <w:szCs w:val="20"/>
        </w:rPr>
        <w:t>PL-RS pool</w:t>
      </w:r>
      <w:r>
        <w:rPr>
          <w:rFonts w:eastAsia="微软雅黑"/>
          <w:i/>
          <w:iCs/>
          <w:szCs w:val="20"/>
        </w:rPr>
        <w:t xml:space="preserve"> can be shared with multi-BWP/CC that is analogous to sharing TCI state pool cross multi-BWP/CC.</w:t>
      </w:r>
    </w:p>
    <w:p>
      <w:pPr>
        <w:pStyle w:val="99"/>
        <w:numPr>
          <w:ilvl w:val="0"/>
          <w:numId w:val="15"/>
        </w:numPr>
        <w:snapToGrid w:val="0"/>
        <w:spacing w:before="60" w:beforeLines="25" w:after="60" w:afterLines="25" w:line="300" w:lineRule="auto"/>
        <w:ind w:left="358" w:hanging="358" w:hangingChars="179"/>
        <w:jc w:val="both"/>
        <w:rPr>
          <w:rFonts w:eastAsia="微软雅黑"/>
          <w:i/>
          <w:iCs/>
          <w:szCs w:val="20"/>
        </w:rPr>
      </w:pPr>
      <w:r>
        <w:rPr>
          <w:rFonts w:eastAsia="微软雅黑"/>
          <w:i/>
          <w:iCs/>
          <w:szCs w:val="20"/>
        </w:rPr>
        <w:t>RRC-configured PL-RS pool(s) can be absent in the PUSCH/PUCCH/SRS configuration for each BWP/CC, and replaced with a reference to RRC-configured PL-RS pool(s) in a reference BWP/CC.</w:t>
      </w:r>
    </w:p>
    <w:p>
      <w:pPr>
        <w:numPr>
          <w:ilvl w:val="1"/>
          <w:numId w:val="7"/>
        </w:numPr>
        <w:tabs>
          <w:tab w:val="clear" w:pos="576"/>
        </w:tabs>
        <w:snapToGrid w:val="0"/>
        <w:spacing w:before="240" w:after="120" w:afterLines="50" w:line="240" w:lineRule="auto"/>
        <w:ind w:left="567" w:hanging="567"/>
        <w:jc w:val="both"/>
        <w:outlineLvl w:val="1"/>
        <w:rPr>
          <w:rFonts w:eastAsia="宋体"/>
          <w:b/>
          <w:bCs/>
          <w:sz w:val="24"/>
          <w:szCs w:val="24"/>
        </w:rPr>
      </w:pPr>
      <w:r>
        <w:rPr>
          <w:rFonts w:hint="eastAsia" w:eastAsia="宋体"/>
          <w:b/>
          <w:bCs/>
          <w:sz w:val="24"/>
          <w:szCs w:val="24"/>
        </w:rPr>
        <w:t>Signaling design for DCI based TCI state</w:t>
      </w:r>
      <w:r>
        <w:rPr>
          <w:rFonts w:eastAsia="宋体"/>
          <w:b/>
          <w:bCs/>
          <w:sz w:val="24"/>
          <w:szCs w:val="24"/>
        </w:rPr>
        <w:t xml:space="preserve"> </w:t>
      </w:r>
      <w:r>
        <w:rPr>
          <w:rFonts w:hint="eastAsia" w:eastAsia="宋体"/>
          <w:b/>
          <w:bCs/>
          <w:sz w:val="24"/>
          <w:szCs w:val="24"/>
        </w:rPr>
        <w:t>indication</w:t>
      </w:r>
    </w:p>
    <w:p>
      <w:pPr>
        <w:widowControl w:val="0"/>
        <w:numPr>
          <w:ilvl w:val="2"/>
          <w:numId w:val="7"/>
        </w:numPr>
        <w:tabs>
          <w:tab w:val="left" w:pos="7938"/>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Remaining issue for TCI indication by DCI without DL assignment</w:t>
      </w:r>
    </w:p>
    <w:p>
      <w:pPr>
        <w:pStyle w:val="109"/>
        <w:snapToGrid w:val="0"/>
        <w:spacing w:before="120" w:after="120" w:afterLines="50" w:line="300" w:lineRule="auto"/>
        <w:ind w:firstLine="0" w:firstLineChars="0"/>
        <w:jc w:val="both"/>
        <w:rPr>
          <w:rFonts w:eastAsia="宋体"/>
        </w:rPr>
      </w:pPr>
      <w:r>
        <w:rPr>
          <w:rFonts w:hint="eastAsia" w:eastAsia="宋体"/>
        </w:rPr>
        <w:t>I</w:t>
      </w:r>
      <w:r>
        <w:rPr>
          <w:rFonts w:eastAsia="宋体"/>
        </w:rPr>
        <w:t>n RAN1#104b-e, the</w:t>
      </w:r>
      <w:r>
        <w:t xml:space="preserve"> following agreement </w:t>
      </w:r>
      <w:r>
        <w:rPr>
          <w:rFonts w:hint="eastAsia" w:eastAsia="宋体"/>
        </w:rPr>
        <w:t>was</w:t>
      </w:r>
      <w:r>
        <w:t xml:space="preserve"> reached</w:t>
      </w:r>
      <w:r>
        <w:rPr>
          <w:rFonts w:hint="eastAsia" w:eastAsia="宋体"/>
        </w:rPr>
        <w:t xml:space="preserve"> for</w:t>
      </w:r>
      <w:r>
        <w:rPr>
          <w:rFonts w:eastAsia="宋体"/>
        </w:rPr>
        <w:t xml:space="preserve"> the </w:t>
      </w:r>
      <w:r>
        <w:t>TCI indication by DCI without DL assignment.</w:t>
      </w:r>
      <w:r>
        <w:rPr>
          <w:rFonts w:hint="eastAsia" w:eastAsia="宋体"/>
        </w:rPr>
        <w:t xml:space="preserve"> </w:t>
      </w:r>
      <w:r>
        <w:rPr>
          <w:rFonts w:eastAsia="宋体"/>
        </w:rPr>
        <w:t>In this subsection, the clarification for timeline corresponding to type-1 HARQ-ACK codebook is provided herein</w:t>
      </w:r>
      <w:r>
        <w:rPr>
          <w:rFonts w:hint="eastAsia" w:eastAsia="宋体"/>
        </w:rPr>
        <w:t>.</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6" w:hRule="atLeast"/>
        </w:trPr>
        <w:tc>
          <w:tcPr>
            <w:tcW w:w="9350" w:type="dxa"/>
          </w:tcPr>
          <w:p>
            <w:pPr>
              <w:snapToGrid w:val="0"/>
              <w:spacing w:after="0"/>
              <w:jc w:val="both"/>
              <w:rPr>
                <w:rFonts w:eastAsia="宋体" w:cs="Times"/>
                <w:b/>
                <w:bCs/>
                <w:szCs w:val="20"/>
                <w:u w:val="single"/>
              </w:rPr>
            </w:pPr>
            <w:r>
              <w:rPr>
                <w:rFonts w:cs="Times"/>
                <w:b/>
                <w:bCs/>
                <w:szCs w:val="20"/>
                <w:u w:val="single"/>
              </w:rPr>
              <w:t>Agreement</w:t>
            </w:r>
            <w:r>
              <w:rPr>
                <w:rFonts w:hint="eastAsia" w:eastAsia="宋体" w:cs="Times"/>
                <w:b/>
                <w:bCs/>
                <w:szCs w:val="20"/>
                <w:u w:val="single"/>
              </w:rPr>
              <w:t xml:space="preserve"> (RAN1#104be)</w:t>
            </w:r>
          </w:p>
          <w:p>
            <w:pPr>
              <w:snapToGrid w:val="0"/>
              <w:spacing w:after="0" w:line="240" w:lineRule="auto"/>
              <w:rPr>
                <w:rFonts w:ascii="Times" w:hAnsi="Times" w:eastAsia="Batang" w:cs="Times"/>
                <w:szCs w:val="20"/>
                <w:lang w:val="en-GB" w:eastAsia="en-US"/>
              </w:rPr>
            </w:pPr>
            <w:r>
              <w:rPr>
                <w:rFonts w:ascii="Times" w:hAnsi="Times" w:eastAsia="Batang" w:cs="Times"/>
                <w:szCs w:val="20"/>
                <w:lang w:val="en-GB" w:eastAsia="en-US"/>
              </w:rPr>
              <w:t>For beam indication with Rel-17 unified TCI, support DCI format 1_1/1_2 without DL assignment:</w:t>
            </w:r>
          </w:p>
          <w:p>
            <w:pPr>
              <w:numPr>
                <w:ilvl w:val="0"/>
                <w:numId w:val="17"/>
              </w:numPr>
              <w:snapToGrid w:val="0"/>
              <w:spacing w:after="0"/>
              <w:jc w:val="both"/>
              <w:rPr>
                <w:rFonts w:ascii="Times" w:hAnsi="Times" w:eastAsia="Batang" w:cs="Times"/>
                <w:szCs w:val="20"/>
                <w:lang w:val="en-GB"/>
              </w:rPr>
            </w:pPr>
            <w:r>
              <w:rPr>
                <w:rFonts w:ascii="Times" w:hAnsi="Times" w:eastAsia="Batang" w:cs="Times"/>
                <w:szCs w:val="20"/>
                <w:lang w:val="en-GB"/>
              </w:rPr>
              <w:t>Use ACK/NACK mechanism analogous to that for SPS PDSCH release with both type-1 and type-2 HARQ-ACK codebook:</w:t>
            </w:r>
          </w:p>
          <w:p>
            <w:pPr>
              <w:numPr>
                <w:ilvl w:val="1"/>
                <w:numId w:val="17"/>
              </w:numPr>
              <w:snapToGrid w:val="0"/>
              <w:spacing w:after="0"/>
              <w:jc w:val="both"/>
              <w:rPr>
                <w:rFonts w:ascii="Times" w:hAnsi="Times" w:eastAsia="Batang" w:cs="Times"/>
                <w:szCs w:val="20"/>
                <w:lang w:val="en-GB"/>
              </w:rPr>
            </w:pPr>
            <w:r>
              <w:rPr>
                <w:rFonts w:ascii="Times" w:hAnsi="Times" w:eastAsia="Batang" w:cs="Times"/>
                <w:szCs w:val="20"/>
                <w:lang w:val="en-GB" w:eastAsia="en-US"/>
              </w:rPr>
              <w:t xml:space="preserve">Upon a successful reception of the beam indication DCI, the UE reports an ACK </w:t>
            </w:r>
          </w:p>
          <w:p>
            <w:pPr>
              <w:numPr>
                <w:ilvl w:val="2"/>
                <w:numId w:val="17"/>
              </w:numPr>
              <w:snapToGrid w:val="0"/>
              <w:spacing w:after="0"/>
              <w:jc w:val="both"/>
              <w:rPr>
                <w:rFonts w:ascii="Times" w:hAnsi="Times" w:eastAsia="Batang" w:cs="Times"/>
                <w:szCs w:val="20"/>
                <w:lang w:val="en-GB" w:eastAsia="en-US"/>
              </w:rPr>
            </w:pPr>
            <w:r>
              <w:rPr>
                <w:rFonts w:ascii="Times" w:hAnsi="Times" w:eastAsia="Batang" w:cs="Times"/>
                <w:szCs w:val="20"/>
                <w:lang w:val="en-GB" w:eastAsia="en-US"/>
              </w:rPr>
              <w:t>Note that upon a failed reception of the beam indication DCI, a NACK can be reported.</w:t>
            </w:r>
          </w:p>
          <w:p>
            <w:pPr>
              <w:numPr>
                <w:ilvl w:val="2"/>
                <w:numId w:val="17"/>
              </w:numPr>
              <w:snapToGrid w:val="0"/>
              <w:spacing w:after="0"/>
              <w:jc w:val="both"/>
              <w:rPr>
                <w:rFonts w:ascii="Times" w:hAnsi="Times" w:eastAsia="Batang" w:cs="Times"/>
                <w:szCs w:val="20"/>
                <w:lang w:val="en-GB" w:eastAsia="en-US"/>
              </w:rPr>
            </w:pPr>
            <w:r>
              <w:rPr>
                <w:rFonts w:ascii="Times" w:hAnsi="Times" w:eastAsia="Batang" w:cs="Times"/>
                <w:szCs w:val="20"/>
                <w:lang w:val="en-GB" w:eastAsia="en-US"/>
              </w:rPr>
              <w:t xml:space="preserve">For type-1 HARQ-ACK codebook, </w:t>
            </w:r>
            <w:r>
              <w:rPr>
                <w:rFonts w:ascii="Times" w:hAnsi="Times" w:eastAsia="Batang" w:cs="Times"/>
                <w:szCs w:val="20"/>
                <w:highlight w:val="yellow"/>
                <w:lang w:val="en-GB" w:eastAsia="en-US"/>
              </w:rPr>
              <w:t>a location for the ACK information in the HARQ-ACK codebook is determined based on a virtual PDSCH indicated by the TDRA field in the beam indication DCI</w:t>
            </w:r>
            <w:r>
              <w:rPr>
                <w:rFonts w:ascii="Times" w:hAnsi="Times" w:eastAsia="Batang" w:cs="Times"/>
                <w:szCs w:val="20"/>
                <w:lang w:val="en-GB" w:eastAsia="en-US"/>
              </w:rPr>
              <w:t>, based on the time domain allocation list configured for PDSCH</w:t>
            </w:r>
          </w:p>
          <w:p>
            <w:pPr>
              <w:numPr>
                <w:ilvl w:val="2"/>
                <w:numId w:val="17"/>
              </w:numPr>
              <w:snapToGrid w:val="0"/>
              <w:spacing w:after="0"/>
              <w:jc w:val="both"/>
              <w:rPr>
                <w:rFonts w:ascii="Times" w:hAnsi="Times" w:eastAsia="Batang" w:cs="Times"/>
                <w:szCs w:val="20"/>
                <w:lang w:val="en-GB" w:eastAsia="en-US"/>
              </w:rPr>
            </w:pPr>
            <w:r>
              <w:rPr>
                <w:rFonts w:ascii="Times" w:hAnsi="Times" w:eastAsia="Batang" w:cs="Times"/>
                <w:szCs w:val="20"/>
                <w:lang w:val="en-GB" w:eastAsia="en-US"/>
              </w:rPr>
              <w:t xml:space="preserve">For type-2 HARQ-ACK codebook, a location for the ACK information in the HARQ-ACK codebook is determined according to the same rule for SPS release </w:t>
            </w:r>
          </w:p>
          <w:p>
            <w:pPr>
              <w:snapToGrid w:val="0"/>
              <w:spacing w:after="0"/>
              <w:ind w:left="1440"/>
              <w:jc w:val="both"/>
              <w:rPr>
                <w:rFonts w:ascii="Times" w:hAnsi="Times" w:eastAsia="Batang" w:cs="Times"/>
                <w:szCs w:val="20"/>
                <w:lang w:val="en-GB" w:eastAsia="en-US"/>
              </w:rPr>
            </w:pPr>
            <w:r>
              <w:rPr>
                <w:rFonts w:ascii="Times" w:hAnsi="Times" w:eastAsia="Batang" w:cs="Times"/>
                <w:szCs w:val="20"/>
                <w:highlight w:val="yellow"/>
                <w:lang w:val="en-GB" w:eastAsia="en-US"/>
              </w:rPr>
              <w:t xml:space="preserve">The ACK is reported in a PUCCH </w:t>
            </w:r>
            <w:r>
              <w:rPr>
                <w:rFonts w:ascii="Times" w:hAnsi="Times" w:eastAsia="Batang" w:cs="Times"/>
                <w:i/>
                <w:iCs/>
                <w:szCs w:val="20"/>
                <w:highlight w:val="yellow"/>
                <w:lang w:val="en-GB" w:eastAsia="en-US"/>
              </w:rPr>
              <w:t xml:space="preserve">k </w:t>
            </w:r>
            <w:r>
              <w:rPr>
                <w:rFonts w:ascii="Times" w:hAnsi="Times" w:eastAsia="Batang" w:cs="Times"/>
                <w:szCs w:val="20"/>
                <w:highlight w:val="yellow"/>
                <w:lang w:val="en-GB" w:eastAsia="en-US"/>
              </w:rPr>
              <w:t xml:space="preserve">slots after the end of the PDCCH reception where </w:t>
            </w:r>
            <w:r>
              <w:rPr>
                <w:rFonts w:ascii="Times" w:hAnsi="Times" w:eastAsia="Batang" w:cs="Times"/>
                <w:i/>
                <w:iCs/>
                <w:szCs w:val="20"/>
                <w:highlight w:val="yellow"/>
                <w:lang w:val="en-GB" w:eastAsia="en-US"/>
              </w:rPr>
              <w:t>k</w:t>
            </w:r>
            <w:r>
              <w:rPr>
                <w:rFonts w:ascii="Times" w:hAnsi="Times" w:eastAsia="Batang" w:cs="Times"/>
                <w:szCs w:val="20"/>
                <w:highlight w:val="yellow"/>
                <w:lang w:val="en-GB" w:eastAsia="en-US"/>
              </w:rPr>
              <w:t xml:space="preserve"> is indicated by the PDSCH-to-HARQ_feedback timing indicator field in the DCI format</w:t>
            </w:r>
            <w:r>
              <w:rPr>
                <w:rFonts w:ascii="Times" w:hAnsi="Times" w:eastAsia="Batang" w:cs="Times"/>
                <w:szCs w:val="20"/>
                <w:lang w:val="en-GB" w:eastAsia="en-US"/>
              </w:rPr>
              <w:t xml:space="preserve">, or provided </w:t>
            </w:r>
            <w:r>
              <w:rPr>
                <w:rFonts w:ascii="Times" w:hAnsi="Times" w:eastAsia="Batang" w:cs="Times"/>
                <w:i/>
                <w:iCs/>
                <w:szCs w:val="20"/>
                <w:lang w:val="en-GB" w:eastAsia="en-US"/>
              </w:rPr>
              <w:t>dl-DataToUL-ACK</w:t>
            </w:r>
            <w:r>
              <w:rPr>
                <w:rFonts w:ascii="Times" w:hAnsi="Times" w:eastAsia="Batang" w:cs="Times"/>
                <w:szCs w:val="20"/>
                <w:lang w:val="en-GB" w:eastAsia="en-US"/>
              </w:rPr>
              <w:t xml:space="preserve"> or </w:t>
            </w:r>
            <w:r>
              <w:rPr>
                <w:rFonts w:ascii="Times" w:hAnsi="Times" w:eastAsia="Batang" w:cs="Times"/>
                <w:i/>
                <w:iCs/>
                <w:szCs w:val="20"/>
                <w:lang w:val="en-GB" w:eastAsia="en-US"/>
              </w:rPr>
              <w:t xml:space="preserve">dl-DataToUL-ACK-ForDCI-Format1-2-r16 </w:t>
            </w:r>
            <w:r>
              <w:rPr>
                <w:rFonts w:ascii="Times" w:hAnsi="Times" w:eastAsia="Batang" w:cs="Times"/>
                <w:szCs w:val="20"/>
                <w:lang w:val="en-GB" w:eastAsia="en-US"/>
              </w:rPr>
              <w:t>if the PDSCH-to-HARQ_feedback timing indicator field is not present in the DCI</w:t>
            </w:r>
          </w:p>
          <w:p>
            <w:pPr>
              <w:numPr>
                <w:ilvl w:val="0"/>
                <w:numId w:val="17"/>
              </w:numPr>
              <w:snapToGrid w:val="0"/>
              <w:spacing w:after="0"/>
              <w:jc w:val="both"/>
              <w:rPr>
                <w:szCs w:val="18"/>
              </w:rPr>
            </w:pPr>
            <w:r>
              <w:rPr>
                <w:szCs w:val="18"/>
              </w:rPr>
              <w:t>…</w:t>
            </w:r>
          </w:p>
        </w:tc>
      </w:tr>
    </w:tbl>
    <w:p>
      <w:pPr>
        <w:pStyle w:val="109"/>
        <w:snapToGrid w:val="0"/>
        <w:spacing w:before="120" w:after="120" w:afterLines="50" w:line="300" w:lineRule="auto"/>
        <w:ind w:firstLine="0" w:firstLineChars="0"/>
        <w:jc w:val="both"/>
        <w:rPr>
          <w:rFonts w:eastAsia="宋体"/>
        </w:rPr>
      </w:pPr>
      <w:r>
        <w:rPr>
          <w:rFonts w:eastAsia="宋体"/>
        </w:rPr>
        <w:t>F</w:t>
      </w:r>
      <w:r>
        <w:rPr>
          <w:rFonts w:eastAsia="微软雅黑"/>
          <w:szCs w:val="20"/>
        </w:rPr>
        <w:t>or semi-static HARQ-ACK codebook, the virtual PDSCH should be assumed in the same slot as the DCI without DL assignment, and the time-domain allocation of the virtual PDSCH within the given slot is determined according to the SLIV of indicated TDRA field, rather than SLIV+K0 in the TDRA. It is the same as legacy mechanism for SPS PDSCH release.</w:t>
      </w:r>
      <w:r>
        <w:rPr>
          <w:rFonts w:eastAsia="宋体"/>
        </w:rPr>
        <w:t xml:space="preserve"> For </w:t>
      </w:r>
      <w:r>
        <w:rPr>
          <w:rFonts w:hint="eastAsia" w:eastAsia="宋体"/>
        </w:rPr>
        <w:t xml:space="preserve">the </w:t>
      </w:r>
      <w:r>
        <w:rPr>
          <w:rFonts w:eastAsia="宋体"/>
        </w:rPr>
        <w:t xml:space="preserve">sake of presentation, one example for </w:t>
      </w:r>
      <w:r>
        <w:rPr>
          <w:rFonts w:hint="eastAsia" w:eastAsia="宋体"/>
        </w:rPr>
        <w:t xml:space="preserve">the agreed method </w:t>
      </w:r>
      <w:r>
        <w:rPr>
          <w:rFonts w:eastAsia="宋体"/>
        </w:rPr>
        <w:t xml:space="preserve">considering ACK mechanism directly in response to DCI is shown </w:t>
      </w:r>
      <w:r>
        <w:rPr>
          <w:rFonts w:hint="eastAsia" w:eastAsia="宋体"/>
        </w:rPr>
        <w:t>in Figure 1</w:t>
      </w:r>
      <w:r>
        <w:rPr>
          <w:rFonts w:eastAsia="宋体"/>
        </w:rPr>
        <w:t>.</w:t>
      </w:r>
    </w:p>
    <w:p>
      <w:pPr>
        <w:pStyle w:val="109"/>
        <w:numPr>
          <w:ilvl w:val="0"/>
          <w:numId w:val="15"/>
        </w:numPr>
        <w:snapToGrid w:val="0"/>
        <w:spacing w:before="120" w:after="120" w:afterLines="50" w:line="300" w:lineRule="auto"/>
        <w:ind w:left="400" w:hanging="400" w:firstLineChars="0"/>
        <w:jc w:val="both"/>
        <w:rPr>
          <w:rFonts w:eastAsia="宋体"/>
        </w:rPr>
      </w:pPr>
      <w:r>
        <w:rPr>
          <w:rFonts w:eastAsia="宋体"/>
        </w:rPr>
        <w:t xml:space="preserve">Note that, if the virtual PDSCH is determined according to </w:t>
      </w:r>
      <w:r>
        <w:rPr>
          <w:rFonts w:eastAsia="微软雅黑"/>
          <w:szCs w:val="20"/>
        </w:rPr>
        <w:t>SLIV+K0 in the TDRA (which may be misled by the first highlighted part in above agreement), and then based on the second highlighted part that ACK is reported in a PUCCH k slots after the end of the PDCCH reception where k is indicated by the PDSCH-to-HARQ_feedback timing indicator field in the DCI format, for HARQ-ACK codebook determination, K1 for determining candidate PDSCH reception becomes ‘PDSCH-to-HARQ_feedback timing – K0’, which may be out of candidate list for semi-static HARQ-ACK codebook generation (i.e.,</w:t>
      </w:r>
      <w:r>
        <w:rPr>
          <w:rFonts w:eastAsia="微软雅黑"/>
          <w:i/>
          <w:iCs/>
          <w:szCs w:val="20"/>
        </w:rPr>
        <w:t xml:space="preserve"> dl-DataToUL-ACK</w:t>
      </w:r>
      <w:r>
        <w:rPr>
          <w:rFonts w:eastAsia="微软雅黑"/>
          <w:szCs w:val="20"/>
        </w:rPr>
        <w:t xml:space="preserve">, </w:t>
      </w:r>
      <w:r>
        <w:rPr>
          <w:rFonts w:eastAsia="微软雅黑"/>
          <w:i/>
          <w:iCs/>
          <w:szCs w:val="20"/>
        </w:rPr>
        <w:t>dl-DataToUL-ACK-ForDCIFormat1_2</w:t>
      </w:r>
      <w:r>
        <w:rPr>
          <w:rFonts w:eastAsia="微软雅黑"/>
          <w:szCs w:val="20"/>
        </w:rPr>
        <w:t>) as highlighted as follows</w:t>
      </w:r>
      <w:r>
        <w:rPr>
          <w:rFonts w:hint="eastAsia" w:eastAsia="宋体"/>
        </w:rPr>
        <w:t>.</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350" w:type="dxa"/>
          </w:tcPr>
          <w:p>
            <w:pPr>
              <w:pStyle w:val="5"/>
              <w:numPr>
                <w:ilvl w:val="0"/>
                <w:numId w:val="0"/>
              </w:numPr>
              <w:rPr>
                <w:b/>
                <w:sz w:val="22"/>
                <w:szCs w:val="20"/>
              </w:rPr>
            </w:pPr>
            <w:bookmarkStart w:id="1" w:name="_Toc74762933"/>
            <w:bookmarkStart w:id="2" w:name="_Toc26719407"/>
            <w:bookmarkStart w:id="3" w:name="_Toc36498168"/>
            <w:bookmarkStart w:id="4" w:name="_Ref505248562"/>
            <w:bookmarkStart w:id="5" w:name="_Toc29899557"/>
            <w:bookmarkStart w:id="6" w:name="_Toc29917294"/>
            <w:bookmarkStart w:id="7" w:name="_Toc45699194"/>
            <w:bookmarkStart w:id="8" w:name="_Toc29899139"/>
            <w:bookmarkStart w:id="9" w:name="_Toc20311582"/>
            <w:bookmarkStart w:id="10" w:name="_Toc12021470"/>
            <w:bookmarkStart w:id="11" w:name="_Toc29894840"/>
            <w:r>
              <w:rPr>
                <w:b/>
                <w:sz w:val="22"/>
                <w:szCs w:val="20"/>
              </w:rPr>
              <w:t>9.1.2.1</w:t>
            </w:r>
            <w:r>
              <w:rPr>
                <w:b/>
                <w:sz w:val="22"/>
                <w:szCs w:val="20"/>
              </w:rPr>
              <w:tab/>
            </w:r>
            <w:r>
              <w:rPr>
                <w:b/>
                <w:sz w:val="22"/>
                <w:szCs w:val="20"/>
              </w:rPr>
              <w:t>Type-1 HARQ-ACK codebook in physical uplink control channel</w:t>
            </w:r>
            <w:bookmarkEnd w:id="1"/>
            <w:bookmarkEnd w:id="2"/>
            <w:bookmarkEnd w:id="3"/>
            <w:bookmarkEnd w:id="4"/>
            <w:bookmarkEnd w:id="5"/>
            <w:bookmarkEnd w:id="6"/>
            <w:bookmarkEnd w:id="7"/>
            <w:bookmarkEnd w:id="8"/>
            <w:bookmarkEnd w:id="9"/>
            <w:bookmarkEnd w:id="10"/>
            <w:bookmarkEnd w:id="11"/>
          </w:p>
          <w:p>
            <w:pPr>
              <w:snapToGrid w:val="0"/>
              <w:spacing w:after="60"/>
              <w:rPr>
                <w:rFonts w:cs="Arial"/>
                <w:szCs w:val="20"/>
              </w:rPr>
            </w:pPr>
            <w:r>
              <w:rPr>
                <w:szCs w:val="20"/>
              </w:rPr>
              <w:t xml:space="preserve">For a serving cell </w:t>
            </w:r>
            <m:oMath>
              <m:r>
                <w:rPr>
                  <w:rFonts w:ascii="Cambria Math" w:hAnsi="Cambria Math"/>
                  <w:szCs w:val="20"/>
                </w:rPr>
                <m:t>c</m:t>
              </m:r>
            </m:oMath>
            <w:r>
              <w:rPr>
                <w:szCs w:val="20"/>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ctrlPr>
                    <w:rPr>
                      <w:rFonts w:ascii="Cambria Math" w:hAnsi="Cambria Math"/>
                      <w:i/>
                      <w:szCs w:val="20"/>
                    </w:rPr>
                  </m:ctrlPr>
                </m:e>
                <m:sub>
                  <m:r>
                    <w:rPr>
                      <w:rFonts w:ascii="Cambria Math" w:hAnsi="Cambria Math"/>
                      <w:szCs w:val="20"/>
                    </w:rPr>
                    <m:t>A,c</m:t>
                  </m:r>
                  <m:ctrlPr>
                    <w:rPr>
                      <w:rFonts w:ascii="Cambria Math" w:hAnsi="Cambria Math"/>
                      <w:i/>
                      <w:szCs w:val="20"/>
                    </w:rPr>
                  </m:ctrlPr>
                </m:sub>
              </m:sSub>
            </m:oMath>
            <w:r>
              <w:rPr>
                <w:rFonts w:cs="Arial"/>
                <w:szCs w:val="20"/>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ctrlPr>
                    <w:rPr>
                      <w:rFonts w:ascii="Cambria Math" w:hAnsi="Cambria Math"/>
                      <w:i/>
                      <w:szCs w:val="20"/>
                    </w:rPr>
                  </m:ctrlPr>
                </m:e>
                <m:sub>
                  <m:r>
                    <w:rPr>
                      <w:rFonts w:ascii="Cambria Math" w:hAnsi="Cambria Math"/>
                      <w:szCs w:val="20"/>
                    </w:rPr>
                    <m:t>U</m:t>
                  </m:r>
                  <m:ctrlPr>
                    <w:rPr>
                      <w:rFonts w:ascii="Cambria Math" w:hAnsi="Cambria Math"/>
                      <w:i/>
                      <w:szCs w:val="20"/>
                    </w:rPr>
                  </m:ctrlPr>
                </m:sub>
              </m:sSub>
            </m:oMath>
            <w:r>
              <w:rPr>
                <w:rFonts w:cs="Arial"/>
                <w:szCs w:val="20"/>
              </w:rPr>
              <w:t xml:space="preserve">. If </w:t>
            </w:r>
            <w:r>
              <w:rPr>
                <w:szCs w:val="20"/>
              </w:rPr>
              <w:t xml:space="preserve">serving cell </w:t>
            </w:r>
            <m:oMath>
              <m:r>
                <w:rPr>
                  <w:rFonts w:ascii="Cambria Math" w:hAnsi="Cambria Math"/>
                  <w:szCs w:val="20"/>
                </w:rPr>
                <m:t>c</m:t>
              </m:r>
            </m:oMath>
            <w:r>
              <w:rPr>
                <w:szCs w:val="20"/>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ctrlPr>
                    <w:rPr>
                      <w:rFonts w:ascii="Cambria Math" w:hAnsi="Cambria Math"/>
                      <w:i/>
                      <w:szCs w:val="20"/>
                    </w:rPr>
                  </m:ctrlPr>
                </m:e>
                <m:sub>
                  <m:r>
                    <w:rPr>
                      <w:rFonts w:ascii="Cambria Math" w:hAnsi="Cambria Math"/>
                      <w:szCs w:val="20"/>
                    </w:rPr>
                    <m:t>A,c</m:t>
                  </m:r>
                  <m:ctrlPr>
                    <w:rPr>
                      <w:rFonts w:ascii="Cambria Math" w:hAnsi="Cambria Math"/>
                      <w:i/>
                      <w:szCs w:val="20"/>
                    </w:rPr>
                  </m:ctrlPr>
                </m:sub>
              </m:sSub>
            </m:oMath>
            <w:r>
              <w:rPr>
                <w:rFonts w:cs="Arial"/>
                <w:szCs w:val="20"/>
              </w:rPr>
              <w:t xml:space="preserve"> occasions for candidate PDSCH receptions</w:t>
            </w:r>
            <w:r>
              <w:rPr>
                <w:szCs w:val="20"/>
              </w:rPr>
              <w:t xml:space="preserve"> a DL BWP provided by </w:t>
            </w:r>
            <w:r>
              <w:rPr>
                <w:i/>
                <w:iCs/>
                <w:szCs w:val="20"/>
              </w:rPr>
              <w:t>firstActiveDownlinkBWP</w:t>
            </w:r>
            <w:r>
              <w:rPr>
                <w:i/>
                <w:szCs w:val="20"/>
              </w:rPr>
              <w:t>-Id</w:t>
            </w:r>
            <w:r>
              <w:rPr>
                <w:rFonts w:cs="Arial"/>
                <w:szCs w:val="20"/>
              </w:rPr>
              <w:t>. The determination is based:</w:t>
            </w:r>
          </w:p>
          <w:p>
            <w:pPr>
              <w:pStyle w:val="47"/>
              <w:snapToGrid w:val="0"/>
              <w:spacing w:after="60"/>
              <w:contextualSpacing w:val="0"/>
            </w:pPr>
            <w:r>
              <w:rPr>
                <w:lang w:eastAsia="zh-CN"/>
              </w:rPr>
              <w:t>a)</w:t>
            </w:r>
            <w:r>
              <w:rPr>
                <w:lang w:eastAsia="zh-CN"/>
              </w:rPr>
              <w:tab/>
            </w:r>
            <w:r>
              <w:rPr>
                <w:lang w:eastAsia="zh-CN"/>
              </w:rPr>
              <w:t xml:space="preserve">on a set of slot timing values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1</m:t>
                  </m:r>
                  <m:ctrlPr>
                    <w:rPr>
                      <w:rFonts w:ascii="Cambria Math" w:hAnsi="Cambria Math"/>
                      <w:i/>
                    </w:rPr>
                  </m:ctrlPr>
                </m:sub>
              </m:sSub>
            </m:oMath>
            <w:r>
              <w:rPr>
                <w:lang w:eastAsia="zh-CN"/>
              </w:rPr>
              <w:t xml:space="preserve"> associated with the active </w:t>
            </w:r>
            <w:r>
              <w:rPr>
                <w:lang w:val="en-US" w:eastAsia="zh-CN"/>
              </w:rPr>
              <w:t>U</w:t>
            </w:r>
            <w:r>
              <w:rPr>
                <w:lang w:eastAsia="zh-CN"/>
              </w:rPr>
              <w:t>L BWP</w:t>
            </w:r>
          </w:p>
          <w:p>
            <w:pPr>
              <w:pStyle w:val="119"/>
              <w:snapToGrid w:val="0"/>
              <w:spacing w:after="60"/>
              <w:rPr>
                <w:lang w:val="en-US"/>
              </w:rPr>
            </w:pPr>
            <w:r>
              <w:rPr>
                <w:lang w:val="en-US" w:eastAsia="zh-CN"/>
              </w:rPr>
              <w:t>a)</w:t>
            </w:r>
            <w:r>
              <w:rPr>
                <w:lang w:val="en-US" w:eastAsia="zh-CN"/>
              </w:rPr>
              <w:tab/>
            </w:r>
            <w:r>
              <w:rPr>
                <w:lang w:val="en-US" w:eastAsia="zh-CN"/>
              </w:rPr>
              <w:t xml:space="preserve">If the UE is configured to monitor PDCCH for DCI format 1_0 and is not configured to monitor PDCCH for either DCI format 1_1 or DCI format 1_2 on serving cell </w:t>
            </w:r>
            <m:oMath>
              <m:r>
                <w:rPr>
                  <w:rFonts w:ascii="Cambria Math" w:hAnsi="Cambria Math"/>
                </w:rPr>
                <m:t>c</m:t>
              </m:r>
            </m:oMath>
            <w:r>
              <w:rPr>
                <w:lang w:val="en-US" w:eastAsia="zh-CN"/>
              </w:rPr>
              <w:t xml:space="preserve">, </w:t>
            </w:r>
            <m:oMath>
              <m:sSub>
                <m:sSubPr>
                  <m:ctrlPr>
                    <w:rPr>
                      <w:rFonts w:ascii="Cambria Math" w:hAnsi="Cambria Math"/>
                      <w:i/>
                      <w:highlight w:val="yellow"/>
                    </w:rPr>
                  </m:ctrlPr>
                </m:sSubPr>
                <m:e>
                  <m:r>
                    <w:rPr>
                      <w:rFonts w:ascii="Cambria Math" w:hAnsi="Cambria Math"/>
                      <w:highlight w:val="yellow"/>
                    </w:rPr>
                    <m:t>K</m:t>
                  </m:r>
                  <m:ctrlPr>
                    <w:rPr>
                      <w:rFonts w:ascii="Cambria Math" w:hAnsi="Cambria Math"/>
                      <w:i/>
                      <w:highlight w:val="yellow"/>
                    </w:rPr>
                  </m:ctrlPr>
                </m:e>
                <m:sub>
                  <m:r>
                    <w:rPr>
                      <w:rFonts w:ascii="Cambria Math" w:hAnsi="Cambria Math"/>
                      <w:highlight w:val="yellow"/>
                      <w:lang w:val="en-US"/>
                    </w:rPr>
                    <m:t>1</m:t>
                  </m:r>
                  <m:ctrlPr>
                    <w:rPr>
                      <w:rFonts w:ascii="Cambria Math" w:hAnsi="Cambria Math"/>
                      <w:i/>
                      <w:highlight w:val="yellow"/>
                    </w:rPr>
                  </m:ctrlPr>
                </m:sub>
              </m:sSub>
            </m:oMath>
            <w:r>
              <w:rPr>
                <w:highlight w:val="yellow"/>
                <w:lang w:val="en-US" w:eastAsia="zh-CN"/>
              </w:rPr>
              <w:t xml:space="preserve"> is provided by the slot timing values {1, 2, 3, 4, 5, 6, 7, 8}</w:t>
            </w:r>
            <w:r>
              <w:rPr>
                <w:lang w:val="en-US" w:eastAsia="zh-CN"/>
              </w:rPr>
              <w:t xml:space="preserve"> </w:t>
            </w:r>
          </w:p>
          <w:p>
            <w:pPr>
              <w:pStyle w:val="119"/>
              <w:snapToGrid w:val="0"/>
              <w:spacing w:after="60"/>
              <w:rPr>
                <w:lang w:val="en-US" w:eastAsia="zh-CN"/>
              </w:rPr>
            </w:pPr>
            <w:r>
              <w:rPr>
                <w:lang w:val="en-US" w:eastAsia="zh-CN"/>
              </w:rPr>
              <w:t>b)</w:t>
            </w:r>
            <w:r>
              <w:rPr>
                <w:lang w:val="en-US" w:eastAsia="zh-CN"/>
              </w:rPr>
              <w:tab/>
            </w:r>
            <w:r>
              <w:rPr>
                <w:lang w:val="en-US" w:eastAsia="zh-CN"/>
              </w:rPr>
              <w:t xml:space="preserve">If the UE is configured to monitor PDCCH for DCI format 1_1 </w:t>
            </w:r>
            <w:r>
              <w:rPr>
                <w:rFonts w:eastAsia="Gulim"/>
                <w:lang w:val="en-GB"/>
              </w:rPr>
              <w:t xml:space="preserve">and is not configured to monitor PDCCH for DCI format 1_2 </w:t>
            </w:r>
            <w:r>
              <w:rPr>
                <w:lang w:val="en-US" w:eastAsia="zh-CN"/>
              </w:rPr>
              <w:t xml:space="preserve">for serving cell </w:t>
            </w:r>
            <m:oMath>
              <m:r>
                <w:rPr>
                  <w:rFonts w:ascii="Cambria Math" w:hAnsi="Cambria Math"/>
                </w:rPr>
                <m:t>c</m:t>
              </m:r>
            </m:oMath>
            <w:r>
              <w:rPr>
                <w:lang w:val="en-US" w:eastAsia="zh-CN"/>
              </w:rPr>
              <w:t xml:space="preserve">, </w:t>
            </w:r>
            <m:oMath>
              <m:sSub>
                <m:sSubPr>
                  <m:ctrlPr>
                    <w:rPr>
                      <w:rFonts w:ascii="Cambria Math" w:hAnsi="Cambria Math"/>
                      <w:i/>
                      <w:highlight w:val="yellow"/>
                    </w:rPr>
                  </m:ctrlPr>
                </m:sSubPr>
                <m:e>
                  <m:r>
                    <w:rPr>
                      <w:rFonts w:ascii="Cambria Math" w:hAnsi="Cambria Math"/>
                      <w:highlight w:val="yellow"/>
                    </w:rPr>
                    <m:t>K</m:t>
                  </m:r>
                  <m:ctrlPr>
                    <w:rPr>
                      <w:rFonts w:ascii="Cambria Math" w:hAnsi="Cambria Math"/>
                      <w:i/>
                      <w:highlight w:val="yellow"/>
                    </w:rPr>
                  </m:ctrlPr>
                </m:e>
                <m:sub>
                  <m:r>
                    <w:rPr>
                      <w:rFonts w:ascii="Cambria Math" w:hAnsi="Cambria Math"/>
                      <w:highlight w:val="yellow"/>
                      <w:lang w:val="en-US"/>
                    </w:rPr>
                    <m:t>1</m:t>
                  </m:r>
                  <m:ctrlPr>
                    <w:rPr>
                      <w:rFonts w:ascii="Cambria Math" w:hAnsi="Cambria Math"/>
                      <w:i/>
                      <w:highlight w:val="yellow"/>
                    </w:rPr>
                  </m:ctrlPr>
                </m:sub>
              </m:sSub>
            </m:oMath>
            <w:r>
              <w:rPr>
                <w:highlight w:val="yellow"/>
                <w:lang w:val="en-US" w:eastAsia="zh-CN"/>
              </w:rPr>
              <w:t xml:space="preserve"> is provided by </w:t>
            </w:r>
            <w:r>
              <w:rPr>
                <w:i/>
                <w:highlight w:val="yellow"/>
                <w:lang w:val="en-US"/>
              </w:rPr>
              <w:t>dl-DataToUL-ACK</w:t>
            </w:r>
            <w:r>
              <w:rPr>
                <w:i/>
                <w:lang w:val="en-US" w:eastAsia="zh-CN"/>
              </w:rPr>
              <w:t xml:space="preserve"> </w:t>
            </w:r>
          </w:p>
          <w:p>
            <w:pPr>
              <w:pStyle w:val="119"/>
              <w:snapToGrid w:val="0"/>
              <w:spacing w:after="60"/>
              <w:rPr>
                <w:rFonts w:eastAsia="Gulim"/>
                <w:lang w:val="en-US"/>
              </w:rPr>
            </w:pPr>
            <w:r>
              <w:rPr>
                <w:rFonts w:eastAsia="Gulim"/>
                <w:lang w:val="en-GB"/>
              </w:rPr>
              <w:t>c)</w:t>
            </w:r>
            <w:r>
              <w:rPr>
                <w:rFonts w:eastAsia="Gulim"/>
                <w:lang w:val="en-GB"/>
              </w:rPr>
              <w:tab/>
            </w:r>
            <w:r>
              <w:rPr>
                <w:rFonts w:eastAsia="Gulim"/>
                <w:lang w:val="en-GB"/>
              </w:rPr>
              <w:t xml:space="preserve">If the UE is configured to monitor PDCCH for DCI format 1_2 and is not configured to monitor PDCCH for DCI format 1_1 </w:t>
            </w:r>
            <w:r>
              <w:rPr>
                <w:rFonts w:eastAsia="Gulim"/>
                <w:lang w:val="en-US"/>
              </w:rPr>
              <w:t>for</w:t>
            </w:r>
            <w:r>
              <w:rPr>
                <w:rFonts w:eastAsia="Gulim"/>
                <w:lang w:val="en-GB"/>
              </w:rPr>
              <w:t xml:space="preserve"> serving cell </w:t>
            </w:r>
            <m:oMath>
              <m:r>
                <w:rPr>
                  <w:rFonts w:ascii="Cambria Math" w:hAnsi="Cambria Math"/>
                </w:rPr>
                <m:t>c</m:t>
              </m:r>
            </m:oMath>
            <w:r>
              <w:rPr>
                <w:rFonts w:eastAsia="Gulim"/>
                <w:lang w:val="en-GB"/>
              </w:rPr>
              <w:t xml:space="preserve">, </w:t>
            </w:r>
            <m:oMath>
              <m:sSub>
                <m:sSubPr>
                  <m:ctrlPr>
                    <w:rPr>
                      <w:rFonts w:ascii="Cambria Math" w:hAnsi="Cambria Math"/>
                      <w:i/>
                      <w:highlight w:val="yellow"/>
                    </w:rPr>
                  </m:ctrlPr>
                </m:sSubPr>
                <m:e>
                  <m:r>
                    <w:rPr>
                      <w:rFonts w:ascii="Cambria Math" w:hAnsi="Cambria Math"/>
                      <w:highlight w:val="yellow"/>
                    </w:rPr>
                    <m:t>K</m:t>
                  </m:r>
                  <m:ctrlPr>
                    <w:rPr>
                      <w:rFonts w:ascii="Cambria Math" w:hAnsi="Cambria Math"/>
                      <w:i/>
                      <w:highlight w:val="yellow"/>
                    </w:rPr>
                  </m:ctrlPr>
                </m:e>
                <m:sub>
                  <m:r>
                    <w:rPr>
                      <w:rFonts w:ascii="Cambria Math" w:hAnsi="Cambria Math"/>
                      <w:highlight w:val="yellow"/>
                      <w:lang w:val="en-US"/>
                    </w:rPr>
                    <m:t>1</m:t>
                  </m:r>
                  <m:ctrlPr>
                    <w:rPr>
                      <w:rFonts w:ascii="Cambria Math" w:hAnsi="Cambria Math"/>
                      <w:i/>
                      <w:highlight w:val="yellow"/>
                    </w:rPr>
                  </m:ctrlPr>
                </m:sub>
              </m:sSub>
            </m:oMath>
            <w:r>
              <w:rPr>
                <w:rFonts w:eastAsia="Gulim"/>
                <w:highlight w:val="yellow"/>
                <w:lang w:val="en-GB"/>
              </w:rPr>
              <w:t xml:space="preserve"> is provided by </w:t>
            </w:r>
            <w:r>
              <w:rPr>
                <w:rFonts w:eastAsia="Gulim"/>
                <w:i/>
                <w:iCs/>
                <w:highlight w:val="yellow"/>
                <w:lang w:val="en-GB"/>
              </w:rPr>
              <w:t>dl-DataToUL-ACK-ForDCIFormat1_2</w:t>
            </w:r>
            <w:r>
              <w:rPr>
                <w:rFonts w:eastAsia="Gulim"/>
                <w:i/>
                <w:iCs/>
                <w:lang w:val="en-GB"/>
              </w:rPr>
              <w:t xml:space="preserve"> </w:t>
            </w:r>
          </w:p>
          <w:p>
            <w:pPr>
              <w:pStyle w:val="119"/>
              <w:numPr>
                <w:ilvl w:val="255"/>
                <w:numId w:val="0"/>
              </w:numPr>
              <w:snapToGrid w:val="0"/>
              <w:spacing w:after="60"/>
              <w:ind w:left="800" w:leftChars="300" w:hanging="200" w:hangingChars="100"/>
              <w:rPr>
                <w:rFonts w:eastAsia="Gulim"/>
                <w:szCs w:val="18"/>
                <w:lang w:val="en-US"/>
              </w:rPr>
            </w:pPr>
            <w:r>
              <w:rPr>
                <w:rFonts w:eastAsia="Gulim"/>
                <w:lang w:val="en-GB"/>
              </w:rPr>
              <w:t>d)</w:t>
            </w:r>
            <w:r>
              <w:rPr>
                <w:rFonts w:eastAsia="Gulim"/>
                <w:lang w:val="en-GB"/>
              </w:rPr>
              <w:tab/>
            </w:r>
            <w:r>
              <w:rPr>
                <w:rFonts w:eastAsia="Gulim"/>
                <w:lang w:val="en-GB"/>
              </w:rPr>
              <w:t xml:space="preserve">If the UE is configured to monitor PDCCH for DCI format 1_1 and DCI format 1_2 </w:t>
            </w:r>
            <w:r>
              <w:rPr>
                <w:rFonts w:eastAsia="Gulim"/>
                <w:lang w:val="en-US"/>
              </w:rPr>
              <w:t xml:space="preserve">for </w:t>
            </w:r>
            <w:r>
              <w:rPr>
                <w:rFonts w:eastAsia="Gulim"/>
                <w:lang w:val="en-GB"/>
              </w:rPr>
              <w:t xml:space="preserve">serving cell </w:t>
            </w:r>
            <m:oMath>
              <m:r>
                <w:rPr>
                  <w:rFonts w:ascii="Cambria Math" w:hAnsi="Cambria Math"/>
                </w:rPr>
                <m:t>c</m:t>
              </m:r>
            </m:oMath>
            <w:r>
              <w:rPr>
                <w:rFonts w:eastAsia="Gulim"/>
                <w:lang w:val="en-GB"/>
              </w:rPr>
              <w:t xml:space="preserve">, </w:t>
            </w:r>
            <m:oMath>
              <m:sSub>
                <m:sSubPr>
                  <m:ctrlPr>
                    <w:rPr>
                      <w:rFonts w:ascii="Cambria Math" w:hAnsi="Cambria Math"/>
                      <w:i/>
                      <w:highlight w:val="yellow"/>
                    </w:rPr>
                  </m:ctrlPr>
                </m:sSubPr>
                <m:e>
                  <m:r>
                    <w:rPr>
                      <w:rFonts w:ascii="Cambria Math" w:hAnsi="Cambria Math"/>
                      <w:highlight w:val="yellow"/>
                    </w:rPr>
                    <m:t>K</m:t>
                  </m:r>
                  <m:ctrlPr>
                    <w:rPr>
                      <w:rFonts w:ascii="Cambria Math" w:hAnsi="Cambria Math"/>
                      <w:i/>
                      <w:highlight w:val="yellow"/>
                    </w:rPr>
                  </m:ctrlPr>
                </m:e>
                <m:sub>
                  <m:r>
                    <w:rPr>
                      <w:rFonts w:ascii="Cambria Math" w:hAnsi="Cambria Math"/>
                      <w:highlight w:val="yellow"/>
                      <w:lang w:val="en-US"/>
                    </w:rPr>
                    <m:t>1</m:t>
                  </m:r>
                  <m:ctrlPr>
                    <w:rPr>
                      <w:rFonts w:ascii="Cambria Math" w:hAnsi="Cambria Math"/>
                      <w:i/>
                      <w:highlight w:val="yellow"/>
                    </w:rPr>
                  </m:ctrlPr>
                </m:sub>
              </m:sSub>
            </m:oMath>
            <w:r>
              <w:rPr>
                <w:rFonts w:eastAsia="Gulim"/>
                <w:highlight w:val="yellow"/>
                <w:lang w:val="en-GB"/>
              </w:rPr>
              <w:t xml:space="preserve"> is provided by the union of </w:t>
            </w:r>
            <w:r>
              <w:rPr>
                <w:rFonts w:eastAsia="Gulim"/>
                <w:i/>
                <w:iCs/>
                <w:highlight w:val="yellow"/>
                <w:lang w:val="en-GB"/>
              </w:rPr>
              <w:t xml:space="preserve">dl-DataToUL-ACK </w:t>
            </w:r>
            <w:r>
              <w:rPr>
                <w:rFonts w:eastAsia="Gulim"/>
                <w:highlight w:val="yellow"/>
                <w:lang w:val="en-GB"/>
              </w:rPr>
              <w:t>and</w:t>
            </w:r>
            <w:r>
              <w:rPr>
                <w:rFonts w:eastAsia="Gulim"/>
                <w:i/>
                <w:iCs/>
                <w:highlight w:val="yellow"/>
                <w:lang w:val="en-GB"/>
              </w:rPr>
              <w:t xml:space="preserve"> dl-DataToUL-ACK-ForDCIFormat1_2</w:t>
            </w:r>
            <w:r>
              <w:rPr>
                <w:rFonts w:eastAsia="Gulim"/>
                <w:i/>
                <w:iCs/>
                <w:lang w:val="en-GB"/>
              </w:rPr>
              <w:t xml:space="preserve"> </w:t>
            </w:r>
          </w:p>
        </w:tc>
      </w:tr>
    </w:tbl>
    <w:p>
      <w:pPr>
        <w:snapToGrid w:val="0"/>
        <w:spacing w:before="120" w:after="120" w:afterLines="50" w:line="300" w:lineRule="auto"/>
        <w:jc w:val="center"/>
      </w:pPr>
      <w:r>
        <w:object>
          <v:shape id="_x0000_i1025" o:spt="75" type="#_x0000_t75" style="height:168.6pt;width:367.7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rFonts w:eastAsia="宋体"/>
          <w:szCs w:val="20"/>
        </w:rPr>
      </w:pPr>
      <w:r>
        <w:rPr>
          <w:rFonts w:hint="eastAsia"/>
          <w:b/>
          <w:szCs w:val="20"/>
        </w:rPr>
        <w:t>Fig</w:t>
      </w:r>
      <w:r>
        <w:rPr>
          <w:b/>
          <w:szCs w:val="20"/>
        </w:rPr>
        <w:t xml:space="preserve">ure </w:t>
      </w:r>
      <w:r>
        <w:rPr>
          <w:rFonts w:hint="eastAsia" w:eastAsia="宋体"/>
          <w:b/>
          <w:szCs w:val="20"/>
        </w:rPr>
        <w:t>1</w:t>
      </w:r>
      <w:r>
        <w:rPr>
          <w:rFonts w:hint="eastAsia"/>
          <w:szCs w:val="20"/>
        </w:rPr>
        <w:t xml:space="preserve"> </w:t>
      </w:r>
      <w:r>
        <w:rPr>
          <w:szCs w:val="20"/>
        </w:rPr>
        <w:t>A</w:t>
      </w:r>
      <w:r>
        <w:rPr>
          <w:rFonts w:eastAsia="宋体"/>
          <w:szCs w:val="20"/>
        </w:rPr>
        <w:t>pplication time of TCI state indication (i.e., Y symbols after ACK) for semi-static HARQ-ACK codebook, where virtual PDSCH is assumed in the same slot of the DCI by UE</w:t>
      </w:r>
    </w:p>
    <w:p>
      <w:pPr>
        <w:snapToGrid w:val="0"/>
        <w:spacing w:before="120" w:after="120" w:afterLines="50" w:line="300" w:lineRule="auto"/>
        <w:jc w:val="both"/>
        <w:rPr>
          <w:rFonts w:eastAsia="微软雅黑"/>
        </w:rPr>
      </w:pPr>
      <w:r>
        <w:rPr>
          <w:rFonts w:hint="eastAsia" w:eastAsia="微软雅黑"/>
          <w:b/>
          <w:bCs/>
          <w:i/>
          <w:iCs/>
          <w:szCs w:val="20"/>
        </w:rPr>
        <w:t xml:space="preserve">Proposal </w:t>
      </w:r>
      <w:r>
        <w:rPr>
          <w:rFonts w:hint="eastAsia" w:eastAsia="微软雅黑"/>
          <w:b/>
          <w:bCs/>
          <w:i/>
          <w:iCs/>
          <w:szCs w:val="20"/>
          <w:lang w:val="en-US" w:eastAsia="zh-CN"/>
        </w:rPr>
        <w:t>6</w:t>
      </w:r>
      <w:r>
        <w:rPr>
          <w:rFonts w:hint="eastAsia" w:eastAsia="微软雅黑"/>
          <w:b/>
          <w:bCs/>
          <w:i/>
          <w:iCs/>
          <w:szCs w:val="20"/>
        </w:rPr>
        <w:t>:</w:t>
      </w:r>
      <w:r>
        <w:rPr>
          <w:rFonts w:hint="eastAsia" w:eastAsia="微软雅黑"/>
          <w:i/>
          <w:iCs/>
          <w:szCs w:val="20"/>
        </w:rPr>
        <w:t xml:space="preserve"> Regarding TCI indication </w:t>
      </w:r>
      <w:r>
        <w:rPr>
          <w:rFonts w:eastAsia="微软雅黑"/>
          <w:i/>
          <w:iCs/>
          <w:szCs w:val="20"/>
        </w:rPr>
        <w:t xml:space="preserve">by </w:t>
      </w:r>
      <w:r>
        <w:rPr>
          <w:rFonts w:hint="eastAsia" w:eastAsia="微软雅黑"/>
          <w:i/>
          <w:iCs/>
          <w:szCs w:val="20"/>
        </w:rPr>
        <w:t>DCI withou</w:t>
      </w:r>
      <w:r>
        <w:rPr>
          <w:rFonts w:eastAsia="微软雅黑"/>
          <w:i/>
          <w:iCs/>
          <w:szCs w:val="20"/>
        </w:rPr>
        <w:t xml:space="preserve">t </w:t>
      </w:r>
      <w:r>
        <w:rPr>
          <w:rFonts w:hint="eastAsia" w:eastAsia="微软雅黑"/>
          <w:i/>
          <w:iCs/>
          <w:szCs w:val="20"/>
        </w:rPr>
        <w:t>DL assignment,</w:t>
      </w:r>
      <w:r>
        <w:rPr>
          <w:rFonts w:eastAsia="微软雅黑"/>
          <w:i/>
          <w:iCs/>
          <w:szCs w:val="20"/>
        </w:rPr>
        <w:t xml:space="preserve"> for type-1 HARQ-ACK codebook determination,</w:t>
      </w:r>
      <w:r>
        <w:rPr>
          <w:rFonts w:hint="eastAsia" w:eastAsia="微软雅黑"/>
          <w:i/>
          <w:iCs/>
          <w:szCs w:val="20"/>
        </w:rPr>
        <w:t xml:space="preserve"> </w:t>
      </w:r>
      <w:r>
        <w:rPr>
          <w:rFonts w:eastAsia="微软雅黑"/>
          <w:i/>
          <w:iCs/>
          <w:szCs w:val="20"/>
        </w:rPr>
        <w:t>virtual PDSCH is assumed in the same slot of the DCI by UE.</w:t>
      </w:r>
      <w:r>
        <w:rPr>
          <w:rFonts w:hint="eastAsia" w:eastAsia="微软雅黑"/>
          <w:i/>
          <w:iCs/>
          <w:szCs w:val="20"/>
        </w:rPr>
        <w:t xml:space="preserve"> </w:t>
      </w:r>
    </w:p>
    <w:p>
      <w:pPr>
        <w:widowControl w:val="0"/>
        <w:numPr>
          <w:ilvl w:val="2"/>
          <w:numId w:val="7"/>
        </w:numPr>
        <w:tabs>
          <w:tab w:val="left" w:pos="7938"/>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TCI state applied to PUSCH</w:t>
      </w:r>
    </w:p>
    <w:p>
      <w:pPr>
        <w:pStyle w:val="99"/>
        <w:snapToGrid w:val="0"/>
        <w:spacing w:before="60" w:beforeLines="25" w:after="60" w:afterLines="25" w:line="300" w:lineRule="auto"/>
        <w:ind w:firstLine="0" w:firstLineChars="0"/>
        <w:jc w:val="both"/>
        <w:rPr>
          <w:rFonts w:eastAsia="宋体"/>
          <w:szCs w:val="20"/>
        </w:rPr>
      </w:pPr>
      <w:r>
        <w:rPr>
          <w:rFonts w:eastAsia="宋体"/>
          <w:szCs w:val="20"/>
        </w:rPr>
        <w:t xml:space="preserve">When a </w:t>
      </w:r>
      <w:r>
        <w:rPr>
          <w:rFonts w:hint="eastAsia" w:eastAsia="宋体"/>
          <w:szCs w:val="20"/>
        </w:rPr>
        <w:t xml:space="preserve">TCI state is indicated as a unified TCI state, </w:t>
      </w:r>
      <w:r>
        <w:rPr>
          <w:rFonts w:eastAsia="宋体"/>
          <w:szCs w:val="20"/>
        </w:rPr>
        <w:t xml:space="preserve">based on the </w:t>
      </w:r>
      <w:r>
        <w:rPr>
          <w:rFonts w:hint="eastAsia" w:eastAsia="宋体"/>
          <w:szCs w:val="20"/>
        </w:rPr>
        <w:t xml:space="preserve">current </w:t>
      </w:r>
      <w:r>
        <w:rPr>
          <w:rFonts w:eastAsia="宋体"/>
          <w:szCs w:val="20"/>
        </w:rPr>
        <w:t xml:space="preserve">agreement, </w:t>
      </w:r>
      <w:r>
        <w:rPr>
          <w:rFonts w:hint="eastAsia" w:eastAsia="宋体"/>
          <w:szCs w:val="20"/>
        </w:rPr>
        <w:t xml:space="preserve">it </w:t>
      </w:r>
      <w:r>
        <w:rPr>
          <w:rFonts w:eastAsia="宋体"/>
          <w:szCs w:val="20"/>
        </w:rPr>
        <w:t xml:space="preserve">shall </w:t>
      </w:r>
      <w:r>
        <w:rPr>
          <w:rFonts w:hint="eastAsia" w:eastAsia="宋体"/>
          <w:szCs w:val="20"/>
        </w:rPr>
        <w:t>appl</w:t>
      </w:r>
      <w:r>
        <w:rPr>
          <w:rFonts w:eastAsia="宋体"/>
          <w:szCs w:val="20"/>
        </w:rPr>
        <w:t xml:space="preserve">y </w:t>
      </w:r>
      <w:r>
        <w:rPr>
          <w:rFonts w:hint="eastAsia" w:eastAsia="宋体"/>
          <w:szCs w:val="20"/>
        </w:rPr>
        <w:t>to each of the target transmission</w:t>
      </w:r>
      <w:r>
        <w:rPr>
          <w:rFonts w:eastAsia="宋体"/>
          <w:szCs w:val="20"/>
        </w:rPr>
        <w:t>s</w:t>
      </w:r>
      <w:r>
        <w:rPr>
          <w:rFonts w:hint="eastAsia" w:eastAsia="宋体"/>
          <w:szCs w:val="20"/>
        </w:rPr>
        <w:t xml:space="preserve"> or reception</w:t>
      </w:r>
      <w:r>
        <w:rPr>
          <w:rFonts w:eastAsia="宋体"/>
          <w:szCs w:val="20"/>
        </w:rPr>
        <w:t>s</w:t>
      </w:r>
      <w:r>
        <w:rPr>
          <w:rFonts w:hint="eastAsia" w:eastAsia="宋体"/>
          <w:szCs w:val="20"/>
        </w:rPr>
        <w:t xml:space="preserve"> after application time. The </w:t>
      </w:r>
      <w:r>
        <w:rPr>
          <w:rFonts w:hint="eastAsia" w:eastAsia="宋体"/>
          <w:iCs/>
        </w:rPr>
        <w:t>application</w:t>
      </w:r>
      <w:r>
        <w:rPr>
          <w:rFonts w:hint="eastAsia" w:eastAsia="宋体"/>
          <w:szCs w:val="20"/>
        </w:rPr>
        <w:t xml:space="preserve"> time for all target transmissions is supposed to be the same, even for transmissions on CCs with different SCSs. However, </w:t>
      </w:r>
      <w:r>
        <w:rPr>
          <w:rFonts w:eastAsia="宋体"/>
          <w:szCs w:val="20"/>
        </w:rPr>
        <w:t xml:space="preserve">based on the NR PUSCH transmission framework, antenna port(s) of some types of PUSCH, e.g., scheduled by DCI format 0_1/2, are determined according to the most recent transmission of SRS resource(s), which means that till the first SRS transmission after unified TCI update, PUSCH may not follow the same beams as other channels/RSs.  </w:t>
      </w:r>
    </w:p>
    <w:p>
      <w:pPr>
        <w:pStyle w:val="99"/>
        <w:snapToGrid w:val="0"/>
        <w:spacing w:before="60" w:beforeLines="25" w:after="60" w:afterLines="25" w:line="300" w:lineRule="auto"/>
        <w:ind w:firstLine="0" w:firstLineChars="0"/>
        <w:jc w:val="both"/>
        <w:rPr>
          <w:rFonts w:eastAsia="宋体"/>
          <w:szCs w:val="20"/>
        </w:rPr>
      </w:pPr>
      <w:r>
        <w:rPr>
          <w:rFonts w:eastAsia="宋体"/>
          <w:szCs w:val="20"/>
        </w:rPr>
        <w:t>For sake of presentation, w</w:t>
      </w:r>
      <w:r>
        <w:rPr>
          <w:rFonts w:hint="eastAsia" w:eastAsia="宋体"/>
          <w:szCs w:val="20"/>
        </w:rPr>
        <w:t>e provide</w:t>
      </w:r>
      <w:r>
        <w:rPr>
          <w:rFonts w:eastAsia="宋体"/>
          <w:szCs w:val="20"/>
        </w:rPr>
        <w:t xml:space="preserve"> detailed </w:t>
      </w:r>
      <w:r>
        <w:rPr>
          <w:rFonts w:hint="eastAsia" w:eastAsia="宋体"/>
          <w:szCs w:val="20"/>
        </w:rPr>
        <w:t>example</w:t>
      </w:r>
      <w:r>
        <w:rPr>
          <w:rFonts w:eastAsia="宋体"/>
          <w:szCs w:val="20"/>
        </w:rPr>
        <w:t>s</w:t>
      </w:r>
      <w:r>
        <w:rPr>
          <w:rFonts w:hint="eastAsia" w:eastAsia="宋体"/>
          <w:szCs w:val="20"/>
        </w:rPr>
        <w:t xml:space="preserve"> for target PUSCH transmission</w:t>
      </w:r>
      <w:r>
        <w:rPr>
          <w:rFonts w:eastAsia="宋体"/>
          <w:szCs w:val="20"/>
        </w:rPr>
        <w:t xml:space="preserve"> as follows</w:t>
      </w:r>
      <w:r>
        <w:rPr>
          <w:rFonts w:hint="eastAsia" w:eastAsia="宋体"/>
          <w:szCs w:val="20"/>
        </w:rPr>
        <w:t>:</w:t>
      </w:r>
    </w:p>
    <w:p>
      <w:pPr>
        <w:pStyle w:val="99"/>
        <w:numPr>
          <w:ilvl w:val="0"/>
          <w:numId w:val="15"/>
        </w:numPr>
        <w:snapToGrid w:val="0"/>
        <w:spacing w:before="60" w:beforeLines="25" w:after="60" w:afterLines="25" w:line="300" w:lineRule="auto"/>
        <w:ind w:left="400" w:hanging="400" w:hangingChars="200"/>
        <w:jc w:val="both"/>
        <w:rPr>
          <w:rFonts w:eastAsia="宋体"/>
          <w:szCs w:val="20"/>
        </w:rPr>
      </w:pPr>
      <w:r>
        <w:rPr>
          <w:rFonts w:eastAsia="宋体"/>
        </w:rPr>
        <w:t xml:space="preserve">Case </w:t>
      </w:r>
      <w:r>
        <w:rPr>
          <w:rFonts w:hint="eastAsia" w:eastAsia="宋体"/>
          <w:szCs w:val="20"/>
        </w:rPr>
        <w:t xml:space="preserve">1: PUSCH </w:t>
      </w:r>
      <w:r>
        <w:rPr>
          <w:rFonts w:hint="eastAsia" w:eastAsia="宋体"/>
          <w:iCs/>
        </w:rPr>
        <w:t>transmission</w:t>
      </w:r>
      <w:r>
        <w:rPr>
          <w:rFonts w:hint="eastAsia" w:eastAsia="宋体"/>
          <w:szCs w:val="20"/>
        </w:rPr>
        <w:t xml:space="preserve"> is scheduled by a DCI format 0_0</w:t>
      </w:r>
    </w:p>
    <w:p>
      <w:pPr>
        <w:numPr>
          <w:ilvl w:val="1"/>
          <w:numId w:val="15"/>
        </w:numPr>
        <w:snapToGrid w:val="0"/>
        <w:spacing w:before="120" w:after="120" w:afterLines="50" w:line="300" w:lineRule="auto"/>
        <w:ind w:left="800"/>
        <w:jc w:val="both"/>
        <w:rPr>
          <w:rFonts w:eastAsia="宋体"/>
          <w:szCs w:val="20"/>
        </w:rPr>
      </w:pPr>
      <w:r>
        <w:rPr>
          <w:rFonts w:hint="eastAsia" w:eastAsia="宋体"/>
          <w:szCs w:val="20"/>
        </w:rPr>
        <w:t>The actual application time of the unified TCI state for a PUSCH transmission can be the same as for other types of target transmissions, such as PUSCH, PUCCH, PUCCH, SRS, or CSI-RS.</w:t>
      </w:r>
    </w:p>
    <w:p>
      <w:pPr>
        <w:pStyle w:val="109"/>
        <w:numPr>
          <w:ilvl w:val="0"/>
          <w:numId w:val="15"/>
        </w:numPr>
        <w:snapToGrid w:val="0"/>
        <w:spacing w:before="120" w:after="120" w:afterLines="50" w:line="300" w:lineRule="auto"/>
        <w:ind w:left="400" w:hanging="400" w:hangingChars="200"/>
        <w:jc w:val="both"/>
        <w:rPr>
          <w:rFonts w:eastAsia="宋体"/>
          <w:szCs w:val="20"/>
        </w:rPr>
      </w:pPr>
      <w:r>
        <w:rPr>
          <w:rFonts w:hint="eastAsia" w:eastAsia="宋体"/>
          <w:szCs w:val="20"/>
        </w:rPr>
        <w:t>Case 2: PUSCH transmission is</w:t>
      </w:r>
      <w:r>
        <w:rPr>
          <w:rFonts w:hint="eastAsia" w:eastAsia="宋体"/>
          <w:iCs/>
        </w:rPr>
        <w:t xml:space="preserve"> </w:t>
      </w:r>
      <w:r>
        <w:rPr>
          <w:rFonts w:hint="eastAsia" w:eastAsia="宋体"/>
          <w:szCs w:val="20"/>
        </w:rPr>
        <w:t xml:space="preserve">scheduled by a DCI format 0_1/0_2 </w:t>
      </w:r>
    </w:p>
    <w:p>
      <w:pPr>
        <w:numPr>
          <w:ilvl w:val="1"/>
          <w:numId w:val="15"/>
        </w:numPr>
        <w:snapToGrid w:val="0"/>
        <w:spacing w:before="120" w:after="120" w:afterLines="50" w:line="300" w:lineRule="auto"/>
        <w:ind w:left="800"/>
        <w:jc w:val="both"/>
        <w:rPr>
          <w:rFonts w:eastAsia="宋体"/>
          <w:szCs w:val="20"/>
        </w:rPr>
      </w:pPr>
      <w:r>
        <w:rPr>
          <w:rFonts w:hint="eastAsia" w:eastAsia="宋体"/>
          <w:szCs w:val="20"/>
        </w:rPr>
        <w:t xml:space="preserve">The actual application time of the unified TCI state for a PUSCH transmission may be </w:t>
      </w:r>
      <w:r>
        <w:rPr>
          <w:rFonts w:eastAsia="宋体"/>
          <w:szCs w:val="20"/>
        </w:rPr>
        <w:t xml:space="preserve">some </w:t>
      </w:r>
      <w:r>
        <w:rPr>
          <w:rFonts w:hint="eastAsia" w:eastAsia="宋体"/>
          <w:szCs w:val="20"/>
        </w:rPr>
        <w:t xml:space="preserve">later than that for other types of target transmissions, since PUSCH transmission should refer to beam of </w:t>
      </w:r>
      <w:r>
        <w:rPr>
          <w:rFonts w:eastAsia="宋体"/>
          <w:szCs w:val="20"/>
        </w:rPr>
        <w:t xml:space="preserve">the most recent transmission of </w:t>
      </w:r>
      <w:r>
        <w:rPr>
          <w:rFonts w:hint="eastAsia" w:eastAsia="宋体"/>
          <w:szCs w:val="20"/>
        </w:rPr>
        <w:t xml:space="preserve">SRS resource indicated by the SRI, according to current PUSCH scheme. </w:t>
      </w:r>
    </w:p>
    <w:p>
      <w:pPr>
        <w:numPr>
          <w:ilvl w:val="1"/>
          <w:numId w:val="15"/>
        </w:numPr>
        <w:snapToGrid w:val="0"/>
        <w:spacing w:before="120" w:after="120" w:afterLines="50" w:line="300" w:lineRule="auto"/>
        <w:ind w:left="800"/>
        <w:jc w:val="both"/>
        <w:rPr>
          <w:rFonts w:eastAsia="宋体"/>
          <w:szCs w:val="20"/>
        </w:rPr>
      </w:pPr>
      <w:r>
        <w:rPr>
          <w:rFonts w:hint="eastAsia" w:eastAsia="宋体"/>
          <w:szCs w:val="20"/>
        </w:rPr>
        <w:t>Note that the actual application time of the unified TCI state for SRS transmission can be the same as for other types of target transmissions.</w:t>
      </w:r>
    </w:p>
    <w:p>
      <w:pPr>
        <w:pStyle w:val="109"/>
        <w:numPr>
          <w:ilvl w:val="0"/>
          <w:numId w:val="15"/>
        </w:numPr>
        <w:snapToGrid w:val="0"/>
        <w:spacing w:before="120" w:after="120" w:afterLines="50" w:line="300" w:lineRule="auto"/>
        <w:ind w:left="400" w:hanging="400" w:hangingChars="200"/>
        <w:jc w:val="both"/>
        <w:rPr>
          <w:rFonts w:eastAsia="宋体"/>
          <w:szCs w:val="20"/>
        </w:rPr>
      </w:pPr>
      <w:r>
        <w:rPr>
          <w:rFonts w:hint="eastAsia" w:eastAsia="宋体"/>
          <w:szCs w:val="20"/>
        </w:rPr>
        <w:t>Case 3: PUSCH transmission is configured grant, i.e. CG type 1 or CG type 2</w:t>
      </w:r>
    </w:p>
    <w:p>
      <w:pPr>
        <w:numPr>
          <w:ilvl w:val="1"/>
          <w:numId w:val="15"/>
        </w:numPr>
        <w:snapToGrid w:val="0"/>
        <w:spacing w:before="120" w:after="120" w:afterLines="50" w:line="300" w:lineRule="auto"/>
        <w:ind w:left="800"/>
        <w:jc w:val="both"/>
        <w:rPr>
          <w:rFonts w:eastAsia="宋体"/>
          <w:szCs w:val="20"/>
        </w:rPr>
      </w:pPr>
      <w:r>
        <w:rPr>
          <w:rFonts w:eastAsia="宋体"/>
          <w:szCs w:val="20"/>
        </w:rPr>
        <w:t>Similarly, due to being based on the most recent SRS transmission before configured grant/UL-SPS assignment PDCCH, t</w:t>
      </w:r>
      <w:r>
        <w:rPr>
          <w:rFonts w:hint="eastAsia" w:eastAsia="宋体"/>
          <w:szCs w:val="20"/>
        </w:rPr>
        <w:t xml:space="preserve">he actual application time of the unified TCI state for a PUSCH transmission may be </w:t>
      </w:r>
      <w:r>
        <w:rPr>
          <w:rFonts w:eastAsia="宋体"/>
          <w:szCs w:val="20"/>
        </w:rPr>
        <w:t xml:space="preserve">much </w:t>
      </w:r>
      <w:r>
        <w:rPr>
          <w:rFonts w:hint="eastAsia" w:eastAsia="宋体"/>
          <w:szCs w:val="20"/>
        </w:rPr>
        <w:t>later than that for other types of target transmissions</w:t>
      </w:r>
      <w:r>
        <w:rPr>
          <w:rFonts w:eastAsia="宋体"/>
          <w:szCs w:val="20"/>
        </w:rPr>
        <w:t xml:space="preserve">. Specifically, considering the large time-domain gap between UL </w:t>
      </w:r>
      <w:r>
        <w:rPr>
          <w:rFonts w:hint="eastAsia" w:eastAsia="宋体"/>
          <w:szCs w:val="20"/>
        </w:rPr>
        <w:t>SPS-assignment</w:t>
      </w:r>
      <w:r>
        <w:rPr>
          <w:rFonts w:eastAsia="宋体"/>
          <w:szCs w:val="20"/>
        </w:rPr>
        <w:t xml:space="preserve"> PDCCH and the CG PUSCH transmission, the misalignment issue may be more severe compared with Case 2</w:t>
      </w:r>
      <w:r>
        <w:rPr>
          <w:rFonts w:hint="eastAsia" w:eastAsia="宋体"/>
          <w:szCs w:val="20"/>
        </w:rPr>
        <w:t>.</w:t>
      </w:r>
    </w:p>
    <w:p>
      <w:pPr>
        <w:numPr>
          <w:ilvl w:val="1"/>
          <w:numId w:val="15"/>
        </w:numPr>
        <w:snapToGrid w:val="0"/>
        <w:spacing w:before="120" w:after="120" w:afterLines="50" w:line="300" w:lineRule="auto"/>
        <w:ind w:left="800"/>
        <w:jc w:val="both"/>
        <w:rPr>
          <w:rFonts w:eastAsia="宋体"/>
          <w:szCs w:val="20"/>
        </w:rPr>
      </w:pPr>
      <w:r>
        <w:rPr>
          <w:rFonts w:eastAsia="宋体"/>
          <w:szCs w:val="20"/>
        </w:rPr>
        <w:t xml:space="preserve">Also, other similar </w:t>
      </w:r>
      <w:r>
        <w:rPr>
          <w:rFonts w:hint="eastAsia" w:eastAsia="宋体"/>
          <w:szCs w:val="20"/>
        </w:rPr>
        <w:t>issue</w:t>
      </w:r>
      <w:r>
        <w:rPr>
          <w:rFonts w:eastAsia="宋体"/>
          <w:szCs w:val="20"/>
        </w:rPr>
        <w:t>s</w:t>
      </w:r>
      <w:r>
        <w:rPr>
          <w:rFonts w:hint="eastAsia" w:eastAsia="宋体"/>
          <w:szCs w:val="20"/>
        </w:rPr>
        <w:t xml:space="preserve"> may be considered</w:t>
      </w:r>
      <w:r>
        <w:rPr>
          <w:rFonts w:eastAsia="宋体"/>
          <w:szCs w:val="20"/>
        </w:rPr>
        <w:t xml:space="preserve"> as well</w:t>
      </w:r>
      <w:r>
        <w:rPr>
          <w:rFonts w:hint="eastAsia" w:eastAsia="宋体"/>
          <w:szCs w:val="20"/>
        </w:rPr>
        <w:t xml:space="preserve">: precoding information determined at the beginning of the CG PUSCH transmissions, such as TPMI, number of layers, may </w:t>
      </w:r>
      <w:r>
        <w:rPr>
          <w:rFonts w:eastAsia="宋体"/>
          <w:szCs w:val="20"/>
        </w:rPr>
        <w:t>NOT</w:t>
      </w:r>
      <w:r>
        <w:rPr>
          <w:rFonts w:hint="eastAsia" w:eastAsia="宋体"/>
          <w:szCs w:val="20"/>
        </w:rPr>
        <w:t xml:space="preserve"> be suitable</w:t>
      </w:r>
      <w:r>
        <w:rPr>
          <w:rFonts w:eastAsia="宋体"/>
          <w:szCs w:val="20"/>
        </w:rPr>
        <w:t xml:space="preserve"> once</w:t>
      </w:r>
      <w:r>
        <w:rPr>
          <w:rFonts w:hint="eastAsia" w:eastAsia="宋体"/>
          <w:szCs w:val="20"/>
        </w:rPr>
        <w:t xml:space="preserve"> unified TCI state changes.</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 xml:space="preserve">The application time delay seems inevitable if a PUSCH transmission follows beam/spatial relation of </w:t>
      </w:r>
      <w:r>
        <w:rPr>
          <w:rFonts w:eastAsia="宋体"/>
          <w:szCs w:val="20"/>
        </w:rPr>
        <w:t>the most recent SRS transmission prior to the scheduling/</w:t>
      </w:r>
      <w:r>
        <w:rPr>
          <w:rFonts w:hint="eastAsia" w:eastAsia="宋体"/>
          <w:szCs w:val="20"/>
        </w:rPr>
        <w:t>SPS-assignment</w:t>
      </w:r>
      <w:r>
        <w:rPr>
          <w:rFonts w:eastAsia="宋体"/>
          <w:szCs w:val="20"/>
        </w:rPr>
        <w:t xml:space="preserve"> PDCCH or the configured grant</w:t>
      </w:r>
      <w:r>
        <w:rPr>
          <w:rFonts w:hint="eastAsia" w:eastAsia="宋体"/>
          <w:szCs w:val="20"/>
        </w:rPr>
        <w:t>. But</w:t>
      </w:r>
      <w:r>
        <w:rPr>
          <w:rFonts w:eastAsia="宋体"/>
          <w:szCs w:val="20"/>
        </w:rPr>
        <w:t>, in order to mitigate this beam misalignment impact,</w:t>
      </w:r>
      <w:r>
        <w:rPr>
          <w:rFonts w:hint="eastAsia" w:eastAsia="宋体"/>
          <w:szCs w:val="20"/>
        </w:rPr>
        <w:t xml:space="preserve"> </w:t>
      </w:r>
      <w:r>
        <w:rPr>
          <w:rFonts w:eastAsia="宋体"/>
          <w:szCs w:val="20"/>
        </w:rPr>
        <w:t xml:space="preserve">we suggest to refine the UE behavior at least for </w:t>
      </w:r>
      <w:r>
        <w:rPr>
          <w:rFonts w:hint="eastAsia" w:eastAsia="宋体"/>
          <w:szCs w:val="20"/>
        </w:rPr>
        <w:t>rank 1</w:t>
      </w:r>
      <w:r>
        <w:rPr>
          <w:rFonts w:eastAsia="宋体"/>
          <w:szCs w:val="20"/>
        </w:rPr>
        <w:t xml:space="preserve"> PUSCH transmission in such case, considering that this transmission can be much similar to PUSCH scheduled by DCI format 0_0. That is,</w:t>
      </w:r>
      <w:r>
        <w:rPr>
          <w:rFonts w:hint="eastAsia" w:eastAsia="宋体"/>
          <w:szCs w:val="20"/>
        </w:rPr>
        <w:t xml:space="preserve"> the new unified TCI state can be applicable</w:t>
      </w:r>
      <w:r>
        <w:rPr>
          <w:rFonts w:eastAsia="宋体"/>
          <w:szCs w:val="20"/>
        </w:rPr>
        <w:t xml:space="preserve"> for rank 1 PUSCH transmission</w:t>
      </w:r>
      <w:r>
        <w:rPr>
          <w:rFonts w:hint="eastAsia" w:eastAsia="宋体"/>
          <w:szCs w:val="20"/>
        </w:rPr>
        <w:t xml:space="preserve"> at the same time as for other types of target transmissions</w:t>
      </w:r>
      <w:r>
        <w:rPr>
          <w:rFonts w:eastAsia="宋体"/>
          <w:szCs w:val="20"/>
        </w:rPr>
        <w:t>, regardless that the PUSCH refers to that scheduled by DCI format 0_1/2 or with a configured grant</w:t>
      </w:r>
      <w:r>
        <w:rPr>
          <w:rFonts w:hint="eastAsia" w:eastAsia="宋体"/>
          <w:szCs w:val="20"/>
        </w:rPr>
        <w:t xml:space="preserve">. </w:t>
      </w:r>
    </w:p>
    <w:p>
      <w:pPr>
        <w:snapToGrid w:val="0"/>
        <w:spacing w:before="120" w:after="120" w:afterLines="50" w:line="300" w:lineRule="auto"/>
        <w:jc w:val="both"/>
        <w:rPr>
          <w:rFonts w:eastAsia="微软雅黑"/>
          <w:i/>
          <w:iCs/>
          <w:szCs w:val="20"/>
        </w:rPr>
      </w:pPr>
      <w:r>
        <w:rPr>
          <w:rFonts w:eastAsia="微软雅黑"/>
          <w:b/>
          <w:bCs/>
          <w:i/>
          <w:iCs/>
          <w:szCs w:val="20"/>
        </w:rPr>
        <w:t xml:space="preserve">Proposal </w:t>
      </w:r>
      <w:r>
        <w:rPr>
          <w:rFonts w:hint="eastAsia" w:eastAsia="微软雅黑"/>
          <w:b/>
          <w:bCs/>
          <w:i/>
          <w:iCs/>
          <w:szCs w:val="20"/>
          <w:lang w:val="en-US" w:eastAsia="zh-CN"/>
        </w:rPr>
        <w:t>7</w:t>
      </w:r>
      <w:r>
        <w:rPr>
          <w:rFonts w:eastAsia="微软雅黑"/>
          <w:b/>
          <w:bCs/>
          <w:i/>
          <w:iCs/>
          <w:szCs w:val="20"/>
        </w:rPr>
        <w:t>:</w:t>
      </w:r>
      <w:r>
        <w:rPr>
          <w:rFonts w:eastAsia="微软雅黑"/>
          <w:i/>
          <w:iCs/>
          <w:szCs w:val="20"/>
        </w:rPr>
        <w:t xml:space="preserve"> </w:t>
      </w:r>
      <w:r>
        <w:rPr>
          <w:rFonts w:hint="eastAsia" w:eastAsia="微软雅黑"/>
          <w:i/>
          <w:iCs/>
          <w:szCs w:val="20"/>
        </w:rPr>
        <w:t xml:space="preserve">Regarding PUSCH </w:t>
      </w:r>
      <w:r>
        <w:rPr>
          <w:rFonts w:eastAsia="微软雅黑"/>
          <w:i/>
          <w:iCs/>
          <w:szCs w:val="20"/>
        </w:rPr>
        <w:t>scheduled by DCI format 0_1/2 or with a configured grant</w:t>
      </w:r>
      <w:r>
        <w:rPr>
          <w:rFonts w:hint="eastAsia" w:eastAsia="微软雅黑"/>
          <w:i/>
          <w:iCs/>
          <w:szCs w:val="20"/>
        </w:rPr>
        <w:t xml:space="preserve">, </w:t>
      </w:r>
    </w:p>
    <w:p>
      <w:pPr>
        <w:pStyle w:val="111"/>
        <w:numPr>
          <w:ilvl w:val="0"/>
          <w:numId w:val="15"/>
        </w:numPr>
        <w:overflowPunct w:val="0"/>
        <w:autoSpaceDE w:val="0"/>
        <w:autoSpaceDN w:val="0"/>
        <w:adjustRightInd w:val="0"/>
        <w:snapToGrid w:val="0"/>
        <w:spacing w:before="120" w:beforeLines="50" w:after="120" w:afterLines="50" w:line="300" w:lineRule="auto"/>
        <w:ind w:left="400" w:firstLineChars="0"/>
        <w:jc w:val="both"/>
        <w:textAlignment w:val="baseline"/>
      </w:pPr>
      <w:r>
        <w:rPr>
          <w:rFonts w:eastAsia="微软雅黑"/>
          <w:i/>
          <w:iCs/>
          <w:szCs w:val="20"/>
        </w:rPr>
        <w:t>I</w:t>
      </w:r>
      <w:r>
        <w:rPr>
          <w:rFonts w:hint="eastAsia" w:eastAsia="微软雅黑"/>
          <w:i/>
          <w:iCs/>
          <w:szCs w:val="20"/>
        </w:rPr>
        <w:t xml:space="preserve">f the number of </w:t>
      </w:r>
      <w:r>
        <w:rPr>
          <w:rFonts w:eastAsia="微软雅黑"/>
          <w:i/>
          <w:iCs/>
          <w:szCs w:val="20"/>
        </w:rPr>
        <w:t xml:space="preserve">the corresponding </w:t>
      </w:r>
      <w:r>
        <w:rPr>
          <w:rFonts w:hint="eastAsia" w:eastAsia="微软雅黑"/>
          <w:i/>
          <w:iCs/>
          <w:szCs w:val="20"/>
        </w:rPr>
        <w:t>layer is 1,</w:t>
      </w:r>
      <w:r>
        <w:rPr>
          <w:rFonts w:eastAsia="微软雅黑"/>
          <w:i/>
          <w:iCs/>
          <w:szCs w:val="20"/>
        </w:rPr>
        <w:t xml:space="preserve"> </w:t>
      </w:r>
      <w:r>
        <w:rPr>
          <w:rFonts w:eastAsia="宋体"/>
          <w:i/>
          <w:iCs/>
          <w:szCs w:val="20"/>
        </w:rPr>
        <w:t>the same TCI-update application timeline as for other types of target transmissions, such as PDCCH, PDSCH, PUCCH, etc. are used, regardless of most recent SRS transmission.</w:t>
      </w:r>
    </w:p>
    <w:p>
      <w:pPr>
        <w:widowControl w:val="0"/>
        <w:numPr>
          <w:ilvl w:val="2"/>
          <w:numId w:val="7"/>
        </w:numPr>
        <w:tabs>
          <w:tab w:val="clear" w:pos="720"/>
        </w:tabs>
        <w:snapToGrid w:val="0"/>
        <w:spacing w:before="60" w:beforeLines="25" w:after="120" w:afterLines="50" w:line="240" w:lineRule="auto"/>
        <w:ind w:left="607" w:hanging="607"/>
        <w:jc w:val="both"/>
        <w:outlineLvl w:val="2"/>
        <w:rPr>
          <w:rFonts w:eastAsia="宋体"/>
          <w:b/>
          <w:bCs/>
          <w:sz w:val="21"/>
          <w:szCs w:val="21"/>
        </w:rPr>
      </w:pPr>
      <w:r>
        <w:rPr>
          <w:rFonts w:hint="eastAsia" w:eastAsia="宋体"/>
          <w:b/>
          <w:bCs/>
          <w:sz w:val="21"/>
          <w:szCs w:val="21"/>
        </w:rPr>
        <w:t xml:space="preserve">TCI state applied to an SRS set </w:t>
      </w:r>
      <w:r>
        <w:rPr>
          <w:rFonts w:hint="eastAsia" w:eastAsia="宋体"/>
          <w:b/>
          <w:sz w:val="21"/>
          <w:szCs w:val="20"/>
        </w:rPr>
        <w:t>for</w:t>
      </w:r>
      <w:r>
        <w:rPr>
          <w:rFonts w:hint="eastAsia" w:eastAsia="宋体"/>
          <w:b/>
          <w:bCs/>
          <w:sz w:val="21"/>
          <w:szCs w:val="21"/>
        </w:rPr>
        <w:t xml:space="preserve"> non codebook</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 xml:space="preserve">It is agreed that an SRS resource set for non codebook can share the same indicated Rel-17 TCI state. </w:t>
      </w:r>
      <w:r>
        <w:rPr>
          <w:rFonts w:eastAsia="宋体"/>
          <w:szCs w:val="20"/>
        </w:rPr>
        <w:t>The straight-forward solution</w:t>
      </w:r>
      <w:r>
        <w:rPr>
          <w:rFonts w:hint="eastAsia" w:eastAsia="宋体"/>
          <w:szCs w:val="20"/>
        </w:rPr>
        <w:t xml:space="preserve"> is that </w:t>
      </w:r>
      <w:r>
        <w:rPr>
          <w:rFonts w:eastAsia="宋体"/>
          <w:szCs w:val="20"/>
        </w:rPr>
        <w:t xml:space="preserve">the </w:t>
      </w:r>
      <w:r>
        <w:rPr>
          <w:rFonts w:eastAsia="宋体"/>
          <w:i/>
          <w:iCs/>
          <w:szCs w:val="20"/>
        </w:rPr>
        <w:t>associated-CSI-RS</w:t>
      </w:r>
      <w:r>
        <w:rPr>
          <w:rFonts w:eastAsia="宋体"/>
          <w:szCs w:val="20"/>
        </w:rPr>
        <w:t xml:space="preserve"> of the SRS resource set </w:t>
      </w:r>
      <w:r>
        <w:rPr>
          <w:rFonts w:hint="eastAsia" w:eastAsia="宋体"/>
          <w:szCs w:val="20"/>
        </w:rPr>
        <w:t xml:space="preserve">is </w:t>
      </w:r>
      <w:r>
        <w:rPr>
          <w:rFonts w:eastAsia="宋体"/>
          <w:szCs w:val="20"/>
        </w:rPr>
        <w:t>determined according to the indicated Rel-17 joint TCI state, and then the transmitting beam</w:t>
      </w:r>
      <w:r>
        <w:rPr>
          <w:rFonts w:hint="eastAsia" w:eastAsia="宋体"/>
          <w:szCs w:val="20"/>
        </w:rPr>
        <w:t>s</w:t>
      </w:r>
      <w:r>
        <w:rPr>
          <w:rFonts w:eastAsia="宋体"/>
          <w:szCs w:val="20"/>
        </w:rPr>
        <w:t xml:space="preserve"> of </w:t>
      </w:r>
      <w:r>
        <w:rPr>
          <w:rFonts w:hint="eastAsia" w:eastAsia="宋体"/>
          <w:szCs w:val="20"/>
        </w:rPr>
        <w:t xml:space="preserve">SRS resources </w:t>
      </w:r>
      <w:r>
        <w:rPr>
          <w:rFonts w:eastAsia="宋体"/>
          <w:szCs w:val="20"/>
        </w:rPr>
        <w:t>for</w:t>
      </w:r>
      <w:r>
        <w:rPr>
          <w:rFonts w:hint="eastAsia" w:eastAsia="宋体"/>
          <w:szCs w:val="20"/>
        </w:rPr>
        <w:t xml:space="preserve"> non codebook</w:t>
      </w:r>
      <w:r>
        <w:rPr>
          <w:rFonts w:eastAsia="宋体"/>
          <w:szCs w:val="20"/>
        </w:rPr>
        <w:t xml:space="preserve"> transmission</w:t>
      </w:r>
      <w:r>
        <w:rPr>
          <w:rFonts w:hint="eastAsia" w:eastAsia="宋体"/>
          <w:szCs w:val="20"/>
        </w:rPr>
        <w:t xml:space="preserve"> can </w:t>
      </w:r>
      <w:r>
        <w:rPr>
          <w:rFonts w:eastAsia="宋体"/>
          <w:szCs w:val="20"/>
        </w:rPr>
        <w:t>be updated accordingly</w:t>
      </w:r>
      <w:r>
        <w:rPr>
          <w:rFonts w:hint="eastAsia" w:eastAsia="宋体"/>
          <w:szCs w:val="20"/>
        </w:rPr>
        <w:t xml:space="preserve">. </w:t>
      </w:r>
    </w:p>
    <w:p>
      <w:pPr>
        <w:snapToGrid w:val="0"/>
        <w:spacing w:before="120" w:after="120" w:afterLines="50" w:line="300" w:lineRule="auto"/>
        <w:jc w:val="both"/>
        <w:rPr>
          <w:rFonts w:eastAsia="微软雅黑"/>
          <w:i/>
          <w:iCs/>
          <w:szCs w:val="20"/>
        </w:rPr>
      </w:pPr>
      <w:r>
        <w:rPr>
          <w:rFonts w:eastAsia="微软雅黑"/>
          <w:b/>
          <w:bCs/>
          <w:i/>
          <w:iCs/>
          <w:szCs w:val="20"/>
        </w:rPr>
        <w:t xml:space="preserve">Proposal </w:t>
      </w:r>
      <w:r>
        <w:rPr>
          <w:rFonts w:hint="eastAsia" w:eastAsia="微软雅黑"/>
          <w:b/>
          <w:bCs/>
          <w:i/>
          <w:iCs/>
          <w:szCs w:val="20"/>
          <w:lang w:val="en-US" w:eastAsia="zh-CN"/>
        </w:rPr>
        <w:t>8</w:t>
      </w:r>
      <w:r>
        <w:rPr>
          <w:rFonts w:eastAsia="微软雅黑"/>
          <w:b/>
          <w:bCs/>
          <w:i/>
          <w:iCs/>
          <w:szCs w:val="20"/>
        </w:rPr>
        <w:t>:</w:t>
      </w:r>
      <w:r>
        <w:rPr>
          <w:rFonts w:eastAsia="微软雅黑"/>
          <w:i/>
          <w:iCs/>
          <w:szCs w:val="20"/>
        </w:rPr>
        <w:t xml:space="preserve"> The associated-CSI-RS of non codebook AP-SRS resource set can be determined according to the indicated Rel-17 joint TCI state.</w:t>
      </w:r>
      <w:r>
        <w:rPr>
          <w:rFonts w:hint="eastAsia" w:eastAsia="微软雅黑"/>
          <w:i/>
          <w:iCs/>
          <w:szCs w:val="20"/>
        </w:rPr>
        <w:t xml:space="preserve"> </w:t>
      </w:r>
    </w:p>
    <w:p>
      <w:pPr>
        <w:keepNext/>
        <w:keepLines/>
        <w:widowControl w:val="0"/>
        <w:numPr>
          <w:ilvl w:val="1"/>
          <w:numId w:val="7"/>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L1/L2-centric</w:t>
      </w:r>
      <w:r>
        <w:rPr>
          <w:rFonts w:eastAsia="宋体"/>
          <w:b/>
          <w:bCs/>
          <w:kern w:val="2"/>
          <w:sz w:val="24"/>
          <w:szCs w:val="24"/>
        </w:rPr>
        <w:t xml:space="preserve"> </w:t>
      </w:r>
      <w:r>
        <w:rPr>
          <w:rFonts w:hint="eastAsia" w:eastAsia="宋体"/>
          <w:b/>
          <w:bCs/>
          <w:kern w:val="2"/>
          <w:sz w:val="24"/>
          <w:szCs w:val="24"/>
        </w:rPr>
        <w:t>inter-cell beam management</w:t>
      </w:r>
    </w:p>
    <w:p>
      <w:pPr>
        <w:numPr>
          <w:ilvl w:val="2"/>
          <w:numId w:val="7"/>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hint="eastAsia" w:eastAsia="宋体"/>
          <w:b/>
          <w:sz w:val="21"/>
          <w:szCs w:val="20"/>
        </w:rPr>
        <w:t>Dynamic activation/deactivation SSB of non-serving cell</w:t>
      </w:r>
    </w:p>
    <w:p>
      <w:pPr>
        <w:pStyle w:val="109"/>
        <w:numPr>
          <w:ilvl w:val="255"/>
          <w:numId w:val="0"/>
        </w:numPr>
        <w:snapToGrid w:val="0"/>
        <w:spacing w:before="60" w:beforeLines="25" w:after="60" w:afterLines="25" w:line="300" w:lineRule="auto"/>
        <w:jc w:val="both"/>
        <w:rPr>
          <w:rFonts w:eastAsia="宋体"/>
          <w:szCs w:val="20"/>
        </w:rPr>
      </w:pPr>
      <w:r>
        <w:rPr>
          <w:rFonts w:hint="eastAsia" w:eastAsia="宋体"/>
          <w:szCs w:val="20"/>
        </w:rPr>
        <w:t>In RAN1#104b-e, there was following agreement#1 about L1/L2-centric inter-cell reporting. And in RAN1#106b, the following agreement#2 was further reached.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111"/>
              <w:numPr>
                <w:ilvl w:val="255"/>
                <w:numId w:val="0"/>
              </w:numPr>
              <w:autoSpaceDN w:val="0"/>
              <w:snapToGrid w:val="0"/>
              <w:spacing w:after="0" w:line="240" w:lineRule="auto"/>
              <w:rPr>
                <w:rFonts w:eastAsiaTheme="minorEastAsia"/>
              </w:rPr>
            </w:pPr>
            <w:r>
              <w:rPr>
                <w:rFonts w:cs="Times"/>
                <w:b/>
                <w:bCs/>
                <w:szCs w:val="20"/>
                <w:u w:val="single"/>
              </w:rPr>
              <w:t>Agreement</w:t>
            </w:r>
            <w:r>
              <w:rPr>
                <w:rFonts w:eastAsia="宋体" w:cs="Times"/>
                <w:b/>
                <w:bCs/>
                <w:szCs w:val="20"/>
                <w:u w:val="single"/>
              </w:rPr>
              <w:t xml:space="preserve"> #</w:t>
            </w:r>
            <w:r>
              <w:rPr>
                <w:rFonts w:hint="eastAsia" w:eastAsia="宋体" w:cs="Times"/>
                <w:b/>
                <w:bCs/>
                <w:szCs w:val="20"/>
                <w:u w:val="single"/>
              </w:rPr>
              <w:t>1</w:t>
            </w:r>
          </w:p>
          <w:p>
            <w:pPr>
              <w:numPr>
                <w:ilvl w:val="255"/>
                <w:numId w:val="0"/>
              </w:numPr>
              <w:autoSpaceDN w:val="0"/>
              <w:snapToGrid w:val="0"/>
              <w:spacing w:after="0" w:line="240" w:lineRule="auto"/>
              <w:rPr>
                <w:rFonts w:eastAsia="等线"/>
                <w:bCs/>
                <w:szCs w:val="18"/>
              </w:rPr>
            </w:pPr>
            <w:r>
              <w:t xml:space="preserve">On Rel.17 multi-beam measurement/reporting enhancements for L1/L2-centric inter-cell mobility and inter-cell mTRP, </w:t>
            </w:r>
            <w:r>
              <w:rPr>
                <w:rFonts w:eastAsia="等线"/>
                <w:bCs/>
                <w:szCs w:val="18"/>
              </w:rPr>
              <w:t xml:space="preserve">for L1-RSRP measurement and at least aperiodic reporting, </w:t>
            </w:r>
            <w:r>
              <w:rPr>
                <w:rFonts w:eastAsia="等线"/>
                <w:szCs w:val="18"/>
              </w:rPr>
              <w:t>investigate and, if needed, specify</w:t>
            </w:r>
            <w:r>
              <w:rPr>
                <w:rFonts w:eastAsia="等线"/>
                <w:bCs/>
                <w:szCs w:val="18"/>
              </w:rPr>
              <w:t xml:space="preserve"> MAC CE based dynamic activation/deactivation of a subset of higher-layer-configured measurement for non-serving cell SSB</w:t>
            </w:r>
            <w:r>
              <w:rPr>
                <w:rFonts w:hint="eastAsia" w:eastAsia="等线"/>
                <w:bCs/>
                <w:szCs w:val="18"/>
              </w:rPr>
              <w:t xml:space="preserve">s. </w:t>
            </w:r>
          </w:p>
          <w:p>
            <w:pPr>
              <w:numPr>
                <w:ilvl w:val="255"/>
                <w:numId w:val="0"/>
              </w:numPr>
              <w:autoSpaceDN w:val="0"/>
              <w:snapToGrid w:val="0"/>
              <w:spacing w:after="0" w:line="240" w:lineRule="auto"/>
              <w:rPr>
                <w:rFonts w:eastAsia="宋体" w:cs="Times"/>
                <w:b/>
                <w:bCs/>
                <w:szCs w:val="20"/>
                <w:u w:val="single"/>
              </w:rPr>
            </w:pPr>
            <w:r>
              <w:rPr>
                <w:rFonts w:cs="Times"/>
                <w:b/>
                <w:bCs/>
                <w:szCs w:val="20"/>
                <w:u w:val="single"/>
              </w:rPr>
              <w:t>Agreement</w:t>
            </w:r>
            <w:r>
              <w:rPr>
                <w:rFonts w:eastAsia="宋体" w:cs="Times"/>
                <w:b/>
                <w:bCs/>
                <w:szCs w:val="20"/>
                <w:u w:val="single"/>
              </w:rPr>
              <w:t xml:space="preserve"> #</w:t>
            </w:r>
            <w:r>
              <w:rPr>
                <w:rFonts w:hint="eastAsia" w:eastAsia="宋体" w:cs="Times"/>
                <w:b/>
                <w:bCs/>
                <w:szCs w:val="20"/>
                <w:u w:val="single"/>
              </w:rPr>
              <w:t>2</w:t>
            </w:r>
          </w:p>
          <w:p>
            <w:pPr>
              <w:numPr>
                <w:ilvl w:val="255"/>
                <w:numId w:val="0"/>
              </w:numPr>
              <w:autoSpaceDN w:val="0"/>
              <w:snapToGrid w:val="0"/>
              <w:spacing w:after="0" w:line="240" w:lineRule="auto"/>
              <w:rPr>
                <w:rFonts w:eastAsia="宋体" w:cs="Times"/>
                <w:b/>
                <w:bCs/>
                <w:szCs w:val="20"/>
                <w:u w:val="single"/>
              </w:rPr>
            </w:pPr>
            <w:r>
              <w:t xml:space="preserve">On Rel-17 inter-cell beam management and inter-cell MTRP, the L1-RSRP reporting reuse Rel-15 RSRP table. </w:t>
            </w:r>
          </w:p>
        </w:tc>
      </w:tr>
    </w:tbl>
    <w:p>
      <w:pPr>
        <w:pStyle w:val="109"/>
        <w:widowControl w:val="0"/>
        <w:numPr>
          <w:ilvl w:val="255"/>
          <w:numId w:val="0"/>
        </w:numPr>
        <w:snapToGrid w:val="0"/>
        <w:spacing w:before="120" w:after="120" w:afterLines="50" w:line="300" w:lineRule="auto"/>
        <w:jc w:val="both"/>
        <w:rPr>
          <w:rFonts w:eastAsia="宋体"/>
          <w:szCs w:val="20"/>
        </w:rPr>
      </w:pPr>
      <w:r>
        <w:rPr>
          <w:rFonts w:hint="eastAsia" w:eastAsia="宋体"/>
          <w:szCs w:val="20"/>
        </w:rPr>
        <w:t xml:space="preserve">For semi-persistent and aperiodic reporting </w:t>
      </w:r>
      <w:r>
        <w:rPr>
          <w:rFonts w:eastAsia="宋体"/>
          <w:szCs w:val="20"/>
        </w:rPr>
        <w:t>for L1/L2-centric inter-cell mobility</w:t>
      </w:r>
      <w:r>
        <w:rPr>
          <w:rFonts w:hint="eastAsia" w:eastAsia="宋体"/>
          <w:szCs w:val="20"/>
        </w:rPr>
        <w:t xml:space="preserve">, the </w:t>
      </w:r>
      <w:r>
        <w:rPr>
          <w:rFonts w:eastAsia="宋体"/>
          <w:szCs w:val="20"/>
        </w:rPr>
        <w:t xml:space="preserve">beam measurement related to non-serving cell </w:t>
      </w:r>
      <w:r>
        <w:rPr>
          <w:rFonts w:hint="eastAsia" w:eastAsia="宋体"/>
          <w:szCs w:val="20"/>
        </w:rPr>
        <w:t>SSB</w:t>
      </w:r>
      <w:r>
        <w:rPr>
          <w:rFonts w:eastAsia="宋体"/>
          <w:szCs w:val="20"/>
        </w:rPr>
        <w:t>(s)</w:t>
      </w:r>
      <w:r>
        <w:rPr>
          <w:rFonts w:hint="eastAsia" w:eastAsia="宋体"/>
          <w:szCs w:val="20"/>
        </w:rPr>
        <w:t xml:space="preserve"> also can be dynamic</w:t>
      </w:r>
      <w:r>
        <w:rPr>
          <w:rFonts w:eastAsia="宋体"/>
          <w:szCs w:val="20"/>
        </w:rPr>
        <w:t>ally</w:t>
      </w:r>
      <w:r>
        <w:rPr>
          <w:rFonts w:hint="eastAsia" w:eastAsia="宋体"/>
          <w:szCs w:val="20"/>
        </w:rPr>
        <w:t xml:space="preserve"> activate</w:t>
      </w:r>
      <w:r>
        <w:rPr>
          <w:rFonts w:eastAsia="宋体"/>
          <w:szCs w:val="20"/>
        </w:rPr>
        <w:t>d</w:t>
      </w:r>
      <w:r>
        <w:rPr>
          <w:rFonts w:hint="eastAsia" w:eastAsia="宋体"/>
          <w:szCs w:val="20"/>
        </w:rPr>
        <w:t>/deactivate</w:t>
      </w:r>
      <w:r>
        <w:rPr>
          <w:rFonts w:eastAsia="宋体"/>
          <w:szCs w:val="20"/>
        </w:rPr>
        <w:t>d</w:t>
      </w:r>
      <w:r>
        <w:rPr>
          <w:rFonts w:hint="eastAsia" w:eastAsia="宋体"/>
          <w:szCs w:val="20"/>
        </w:rPr>
        <w:t xml:space="preserve"> by a MAC-CE in order to </w:t>
      </w:r>
      <w:r>
        <w:rPr>
          <w:rFonts w:eastAsia="宋体"/>
          <w:szCs w:val="20"/>
        </w:rPr>
        <w:t>save UE complexity</w:t>
      </w:r>
      <w:r>
        <w:rPr>
          <w:rFonts w:hint="eastAsia" w:eastAsia="宋体"/>
          <w:szCs w:val="20"/>
        </w:rPr>
        <w:t xml:space="preserve">. </w:t>
      </w:r>
      <w:r>
        <w:rPr>
          <w:rFonts w:eastAsia="宋体"/>
          <w:szCs w:val="20"/>
        </w:rPr>
        <w:t>In such case, t</w:t>
      </w:r>
      <w:r>
        <w:rPr>
          <w:rFonts w:hint="eastAsia" w:eastAsia="宋体"/>
          <w:szCs w:val="20"/>
        </w:rPr>
        <w:t xml:space="preserve">he UE only </w:t>
      </w:r>
      <w:r>
        <w:rPr>
          <w:rFonts w:eastAsia="宋体"/>
          <w:szCs w:val="20"/>
        </w:rPr>
        <w:t xml:space="preserve">needs to </w:t>
      </w:r>
      <w:r>
        <w:rPr>
          <w:rFonts w:hint="eastAsia" w:eastAsia="宋体"/>
          <w:szCs w:val="20"/>
        </w:rPr>
        <w:t>measure the</w:t>
      </w:r>
      <w:r>
        <w:rPr>
          <w:rFonts w:eastAsia="宋体"/>
          <w:szCs w:val="20"/>
        </w:rPr>
        <w:t xml:space="preserve"> activated</w:t>
      </w:r>
      <w:r>
        <w:rPr>
          <w:rFonts w:hint="eastAsia" w:eastAsia="宋体"/>
          <w:szCs w:val="20"/>
        </w:rPr>
        <w:t xml:space="preserve"> </w:t>
      </w:r>
      <w:r>
        <w:rPr>
          <w:rFonts w:eastAsia="宋体"/>
          <w:szCs w:val="20"/>
        </w:rPr>
        <w:t xml:space="preserve">non-serving cell </w:t>
      </w:r>
      <w:r>
        <w:rPr>
          <w:rFonts w:hint="eastAsia" w:eastAsia="宋体"/>
          <w:szCs w:val="20"/>
        </w:rPr>
        <w:t>SSB</w:t>
      </w:r>
      <w:r>
        <w:rPr>
          <w:rFonts w:eastAsia="宋体"/>
          <w:szCs w:val="20"/>
        </w:rPr>
        <w:t>(s)</w:t>
      </w:r>
      <w:r>
        <w:rPr>
          <w:rFonts w:hint="eastAsia" w:eastAsia="宋体"/>
          <w:szCs w:val="20"/>
        </w:rPr>
        <w:t xml:space="preserve"> </w:t>
      </w:r>
      <w:r>
        <w:rPr>
          <w:rFonts w:eastAsia="宋体"/>
          <w:szCs w:val="20"/>
        </w:rPr>
        <w:t xml:space="preserve">once the corresponding measurement for semi-persistent or aperiodic reporting is </w:t>
      </w:r>
      <w:r>
        <w:rPr>
          <w:rFonts w:hint="eastAsia" w:eastAsia="宋体"/>
          <w:szCs w:val="20"/>
        </w:rPr>
        <w:t>activated</w:t>
      </w:r>
      <w:r>
        <w:rPr>
          <w:rFonts w:eastAsia="宋体"/>
          <w:szCs w:val="20"/>
        </w:rPr>
        <w:t xml:space="preserve"> by MAC-CE</w:t>
      </w:r>
      <w:r>
        <w:rPr>
          <w:rFonts w:hint="eastAsia" w:eastAsia="宋体"/>
          <w:szCs w:val="20"/>
        </w:rPr>
        <w:t xml:space="preserve">. </w:t>
      </w:r>
    </w:p>
    <w:p>
      <w:pPr>
        <w:pStyle w:val="109"/>
        <w:widowControl w:val="0"/>
        <w:numPr>
          <w:ilvl w:val="0"/>
          <w:numId w:val="15"/>
        </w:numPr>
        <w:snapToGrid w:val="0"/>
        <w:spacing w:before="120" w:after="120" w:afterLines="50" w:line="300" w:lineRule="auto"/>
        <w:ind w:left="400" w:firstLineChars="0"/>
        <w:jc w:val="both"/>
        <w:rPr>
          <w:rFonts w:eastAsia="宋体"/>
          <w:szCs w:val="20"/>
        </w:rPr>
      </w:pPr>
      <w:r>
        <w:rPr>
          <w:rFonts w:eastAsia="宋体"/>
          <w:szCs w:val="20"/>
        </w:rPr>
        <w:t xml:space="preserve">Regarding semi-persistent </w:t>
      </w:r>
      <w:r>
        <w:rPr>
          <w:rFonts w:hint="eastAsia" w:eastAsia="宋体"/>
          <w:szCs w:val="20"/>
        </w:rPr>
        <w:t>measurement of neighboring cell SSB</w:t>
      </w:r>
      <w:r>
        <w:rPr>
          <w:rFonts w:eastAsia="宋体"/>
          <w:szCs w:val="20"/>
        </w:rPr>
        <w:t>, t</w:t>
      </w:r>
      <w:r>
        <w:rPr>
          <w:rFonts w:hint="eastAsia" w:eastAsia="宋体"/>
          <w:szCs w:val="20"/>
        </w:rPr>
        <w:t>he current MAC-CE for activating semi-persistent CSI-RS set can be reused to activate a</w:t>
      </w:r>
      <w:r>
        <w:rPr>
          <w:rFonts w:eastAsia="宋体"/>
          <w:szCs w:val="20"/>
        </w:rPr>
        <w:t xml:space="preserve"> non-serving cell</w:t>
      </w:r>
      <w:r>
        <w:rPr>
          <w:rFonts w:hint="eastAsia" w:eastAsia="宋体"/>
          <w:szCs w:val="20"/>
        </w:rPr>
        <w:t xml:space="preserve"> SSB set</w:t>
      </w:r>
      <w:r>
        <w:rPr>
          <w:rFonts w:hint="eastAsia" w:eastAsia="宋体"/>
        </w:rPr>
        <w:t xml:space="preserve">. </w:t>
      </w:r>
      <w:r>
        <w:rPr>
          <w:rFonts w:eastAsia="宋体"/>
        </w:rPr>
        <w:t>In t</w:t>
      </w:r>
      <w:r>
        <w:rPr>
          <w:rFonts w:hint="eastAsia" w:eastAsia="宋体"/>
        </w:rPr>
        <w:t>he MAC</w:t>
      </w:r>
      <w:r>
        <w:rPr>
          <w:rFonts w:hint="eastAsia" w:eastAsia="宋体"/>
          <w:szCs w:val="20"/>
        </w:rPr>
        <w:t>-CE</w:t>
      </w:r>
      <w:r>
        <w:rPr>
          <w:rFonts w:eastAsia="宋体"/>
          <w:szCs w:val="20"/>
        </w:rPr>
        <w:t>,</w:t>
      </w:r>
      <w:r>
        <w:rPr>
          <w:rFonts w:hint="eastAsia" w:eastAsia="宋体"/>
          <w:szCs w:val="20"/>
        </w:rPr>
        <w:t xml:space="preserve"> </w:t>
      </w:r>
      <w:r>
        <w:rPr>
          <w:rFonts w:eastAsia="宋体"/>
          <w:szCs w:val="20"/>
        </w:rPr>
        <w:t>cell i</w:t>
      </w:r>
      <w:r>
        <w:rPr>
          <w:rFonts w:hint="eastAsia" w:eastAsia="宋体"/>
          <w:szCs w:val="20"/>
        </w:rPr>
        <w:t>nformation</w:t>
      </w:r>
      <w:r>
        <w:rPr>
          <w:rFonts w:eastAsia="宋体"/>
          <w:szCs w:val="20"/>
        </w:rPr>
        <w:t xml:space="preserve"> as a new non-serving related parameter set, can be indicated </w:t>
      </w:r>
      <w:r>
        <w:rPr>
          <w:rFonts w:hint="eastAsia" w:eastAsia="宋体"/>
          <w:szCs w:val="20"/>
        </w:rPr>
        <w:t>for each SSB resource in a</w:t>
      </w:r>
      <w:r>
        <w:rPr>
          <w:rFonts w:eastAsia="宋体"/>
          <w:szCs w:val="20"/>
        </w:rPr>
        <w:t>n</w:t>
      </w:r>
      <w:r>
        <w:rPr>
          <w:rFonts w:hint="eastAsia" w:eastAsia="宋体"/>
          <w:szCs w:val="20"/>
        </w:rPr>
        <w:t xml:space="preserve"> SSB set</w:t>
      </w:r>
      <w:r>
        <w:rPr>
          <w:rFonts w:eastAsia="宋体"/>
          <w:szCs w:val="20"/>
        </w:rPr>
        <w:t xml:space="preserve">, rather than </w:t>
      </w:r>
      <w:r>
        <w:rPr>
          <w:rFonts w:hint="eastAsia" w:eastAsia="宋体"/>
          <w:szCs w:val="20"/>
        </w:rPr>
        <w:t xml:space="preserve">indicating TCI state. </w:t>
      </w:r>
    </w:p>
    <w:p>
      <w:pPr>
        <w:pStyle w:val="109"/>
        <w:widowControl w:val="0"/>
        <w:numPr>
          <w:ilvl w:val="1"/>
          <w:numId w:val="15"/>
        </w:numPr>
        <w:snapToGrid w:val="0"/>
        <w:spacing w:before="120" w:after="120" w:afterLines="50" w:line="300" w:lineRule="auto"/>
        <w:ind w:left="800" w:firstLineChars="0"/>
        <w:jc w:val="both"/>
        <w:rPr>
          <w:rFonts w:eastAsia="宋体"/>
          <w:szCs w:val="20"/>
        </w:rPr>
      </w:pPr>
      <w:r>
        <w:rPr>
          <w:rFonts w:hint="eastAsia" w:eastAsia="宋体"/>
          <w:szCs w:val="20"/>
        </w:rPr>
        <w:t xml:space="preserve">The </w:t>
      </w:r>
      <w:r>
        <w:rPr>
          <w:rFonts w:eastAsia="宋体"/>
          <w:szCs w:val="20"/>
        </w:rPr>
        <w:t>non-</w:t>
      </w:r>
      <w:r>
        <w:rPr>
          <w:rFonts w:eastAsia="宋体"/>
        </w:rPr>
        <w:t xml:space="preserve">serving </w:t>
      </w:r>
      <w:r>
        <w:rPr>
          <w:rFonts w:eastAsia="宋体"/>
          <w:szCs w:val="20"/>
        </w:rPr>
        <w:t>cell i</w:t>
      </w:r>
      <w:r>
        <w:rPr>
          <w:rFonts w:hint="eastAsia" w:eastAsia="宋体"/>
          <w:szCs w:val="20"/>
        </w:rPr>
        <w:t>nformation includes PCI, and SSB</w:t>
      </w:r>
      <w:r>
        <w:rPr>
          <w:rFonts w:eastAsia="宋体"/>
          <w:szCs w:val="20"/>
        </w:rPr>
        <w:t xml:space="preserve"> related</w:t>
      </w:r>
      <w:r>
        <w:rPr>
          <w:rFonts w:hint="eastAsia" w:eastAsia="宋体"/>
          <w:szCs w:val="20"/>
        </w:rPr>
        <w:t xml:space="preserve"> information such as SSB time domain position, periodicity </w:t>
      </w:r>
      <w:r>
        <w:rPr>
          <w:rFonts w:eastAsia="宋体"/>
        </w:rPr>
        <w:t>as agreed for</w:t>
      </w:r>
      <w:r>
        <w:rPr>
          <w:rFonts w:hint="eastAsia" w:eastAsia="宋体"/>
        </w:rPr>
        <w:t xml:space="preserve"> inter-cell MTRP</w:t>
      </w:r>
      <w:r>
        <w:rPr>
          <w:rFonts w:hint="eastAsia" w:eastAsia="宋体"/>
          <w:szCs w:val="20"/>
        </w:rPr>
        <w:t>.</w:t>
      </w:r>
    </w:p>
    <w:p>
      <w:pPr>
        <w:pStyle w:val="109"/>
        <w:widowControl w:val="0"/>
        <w:numPr>
          <w:ilvl w:val="1"/>
          <w:numId w:val="15"/>
        </w:numPr>
        <w:snapToGrid w:val="0"/>
        <w:spacing w:before="120" w:after="120" w:afterLines="50" w:line="300" w:lineRule="auto"/>
        <w:ind w:left="800" w:firstLineChars="0"/>
        <w:jc w:val="both"/>
        <w:rPr>
          <w:rFonts w:eastAsia="宋体"/>
          <w:szCs w:val="20"/>
        </w:rPr>
      </w:pPr>
      <w:r>
        <w:rPr>
          <w:rFonts w:hint="eastAsia" w:eastAsia="宋体"/>
          <w:szCs w:val="20"/>
        </w:rPr>
        <w:t>M</w:t>
      </w:r>
      <w:r>
        <w:rPr>
          <w:rFonts w:eastAsia="宋体"/>
          <w:szCs w:val="20"/>
        </w:rPr>
        <w:t>ultiple candidates of non-serving cell information is pre-configured in RRC, and then the MAC-CE further activate one of multiple candidates for an SSB resource in one activated SSB resource set for measurement.  It means that the association between SSB resource and non-serving cell information is performed by MAC-CE instead of RRC.</w:t>
      </w:r>
    </w:p>
    <w:p>
      <w:pPr>
        <w:pStyle w:val="109"/>
        <w:widowControl w:val="0"/>
        <w:numPr>
          <w:ilvl w:val="0"/>
          <w:numId w:val="15"/>
        </w:numPr>
        <w:snapToGrid w:val="0"/>
        <w:spacing w:before="120" w:after="120" w:afterLines="50" w:line="300" w:lineRule="auto"/>
        <w:ind w:left="400" w:firstLineChars="0"/>
        <w:jc w:val="both"/>
        <w:rPr>
          <w:rFonts w:eastAsia="宋体"/>
        </w:rPr>
      </w:pPr>
      <w:r>
        <w:rPr>
          <w:rFonts w:eastAsia="宋体"/>
        </w:rPr>
        <w:t xml:space="preserve">Regarding aperiodic </w:t>
      </w:r>
      <w:r>
        <w:rPr>
          <w:rFonts w:hint="eastAsia" w:eastAsia="宋体"/>
        </w:rPr>
        <w:t xml:space="preserve">measurement of </w:t>
      </w:r>
      <w:r>
        <w:rPr>
          <w:rFonts w:hint="eastAsia" w:eastAsia="宋体"/>
          <w:szCs w:val="20"/>
        </w:rPr>
        <w:t>neighboring cell SSB</w:t>
      </w:r>
      <w:r>
        <w:rPr>
          <w:rFonts w:eastAsia="宋体"/>
        </w:rPr>
        <w:t>, in RRC level, t</w:t>
      </w:r>
      <w:r>
        <w:rPr>
          <w:rFonts w:hint="eastAsia" w:eastAsia="宋体"/>
        </w:rPr>
        <w:t xml:space="preserve">he TCI state of an aperiodic CSI-RS in current trigger states can be replaced with </w:t>
      </w:r>
      <w:r>
        <w:rPr>
          <w:rFonts w:eastAsia="宋体"/>
        </w:rPr>
        <w:t>non-serving cell information accordingly</w:t>
      </w:r>
      <w:r>
        <w:rPr>
          <w:rFonts w:hint="eastAsia" w:eastAsia="宋体"/>
        </w:rPr>
        <w:t>.</w:t>
      </w:r>
      <w:r>
        <w:rPr>
          <w:rFonts w:eastAsia="宋体"/>
        </w:rPr>
        <w:t xml:space="preserve"> Specifically, t</w:t>
      </w:r>
      <w:r>
        <w:rPr>
          <w:rFonts w:hint="eastAsia" w:eastAsia="宋体"/>
        </w:rPr>
        <w:t xml:space="preserve">he trigger state includes </w:t>
      </w:r>
      <w:r>
        <w:rPr>
          <w:rFonts w:eastAsia="宋体"/>
        </w:rPr>
        <w:t xml:space="preserve">non-serving cell information </w:t>
      </w:r>
      <w:r>
        <w:rPr>
          <w:rFonts w:hint="eastAsia" w:eastAsia="宋体"/>
        </w:rPr>
        <w:t xml:space="preserve">for each SSB resource in an SSB resource set. </w:t>
      </w:r>
      <w:r>
        <w:rPr>
          <w:rFonts w:eastAsia="宋体"/>
        </w:rPr>
        <w:t>Then, t</w:t>
      </w:r>
      <w:r>
        <w:rPr>
          <w:rFonts w:hint="eastAsia" w:eastAsia="宋体"/>
        </w:rPr>
        <w:t xml:space="preserve">he UE only </w:t>
      </w:r>
      <w:r>
        <w:rPr>
          <w:rFonts w:eastAsia="宋体"/>
        </w:rPr>
        <w:t xml:space="preserve">need to </w:t>
      </w:r>
      <w:r>
        <w:rPr>
          <w:rFonts w:hint="eastAsia" w:eastAsia="宋体"/>
        </w:rPr>
        <w:t xml:space="preserve">measure the </w:t>
      </w:r>
      <w:r>
        <w:rPr>
          <w:rFonts w:eastAsia="宋体"/>
        </w:rPr>
        <w:t xml:space="preserve">non-serving cell </w:t>
      </w:r>
      <w:r>
        <w:rPr>
          <w:rFonts w:hint="eastAsia" w:eastAsia="宋体"/>
        </w:rPr>
        <w:t xml:space="preserve">SSB </w:t>
      </w:r>
      <w:r>
        <w:rPr>
          <w:rFonts w:eastAsia="宋体"/>
        </w:rPr>
        <w:t xml:space="preserve">set </w:t>
      </w:r>
      <w:r>
        <w:rPr>
          <w:rFonts w:hint="eastAsia" w:eastAsia="宋体"/>
        </w:rPr>
        <w:t xml:space="preserve">associated with </w:t>
      </w:r>
      <w:r>
        <w:rPr>
          <w:rFonts w:eastAsia="宋体"/>
        </w:rPr>
        <w:t>a</w:t>
      </w:r>
      <w:r>
        <w:rPr>
          <w:rFonts w:hint="eastAsia" w:eastAsia="宋体"/>
        </w:rPr>
        <w:t xml:space="preserve"> trigger state </w:t>
      </w:r>
      <w:r>
        <w:rPr>
          <w:rFonts w:eastAsia="宋体"/>
        </w:rPr>
        <w:t>activated</w:t>
      </w:r>
      <w:r>
        <w:rPr>
          <w:rFonts w:hint="eastAsia" w:eastAsia="宋体"/>
        </w:rPr>
        <w:t xml:space="preserve"> by </w:t>
      </w:r>
      <w:r>
        <w:rPr>
          <w:rFonts w:eastAsia="宋体"/>
        </w:rPr>
        <w:t>the</w:t>
      </w:r>
      <w:r>
        <w:rPr>
          <w:rFonts w:hint="eastAsia" w:eastAsia="宋体"/>
        </w:rPr>
        <w:t xml:space="preserve"> </w:t>
      </w:r>
      <w:r>
        <w:rPr>
          <w:rFonts w:eastAsia="宋体"/>
        </w:rPr>
        <w:t xml:space="preserve">legacy </w:t>
      </w:r>
      <w:r>
        <w:rPr>
          <w:rFonts w:hint="eastAsia" w:eastAsia="宋体"/>
        </w:rPr>
        <w:t>MAC-CE</w:t>
      </w:r>
      <w:r>
        <w:rPr>
          <w:rFonts w:eastAsia="宋体"/>
        </w:rPr>
        <w:t xml:space="preserve"> for activating AP-CSI triggering state(s)</w:t>
      </w:r>
      <w:r>
        <w:rPr>
          <w:rFonts w:hint="eastAsia" w:eastAsia="宋体"/>
        </w:rPr>
        <w:t xml:space="preserve">. </w:t>
      </w:r>
    </w:p>
    <w:p>
      <w:pPr>
        <w:pStyle w:val="109"/>
        <w:widowControl w:val="0"/>
        <w:numPr>
          <w:ilvl w:val="1"/>
          <w:numId w:val="15"/>
        </w:numPr>
        <w:snapToGrid w:val="0"/>
        <w:spacing w:before="120" w:after="120" w:afterLines="50" w:line="300" w:lineRule="auto"/>
        <w:ind w:left="800" w:firstLineChars="0"/>
        <w:jc w:val="both"/>
        <w:rPr>
          <w:rFonts w:eastAsia="宋体"/>
        </w:rPr>
      </w:pPr>
      <w:r>
        <w:rPr>
          <w:rFonts w:eastAsia="宋体"/>
        </w:rPr>
        <w:t xml:space="preserve">In Rel-15/16, there is a rule that the legacy MAC-CE is required only when the number of RRC candidate triggering states is greater than the maximum number of candidate </w:t>
      </w:r>
      <w:r>
        <w:rPr>
          <w:rFonts w:hint="eastAsia" w:eastAsia="宋体"/>
        </w:rPr>
        <w:t>codepoint</w:t>
      </w:r>
      <w:r>
        <w:rPr>
          <w:rFonts w:eastAsia="宋体"/>
        </w:rPr>
        <w:t>s</w:t>
      </w:r>
      <w:r>
        <w:rPr>
          <w:rFonts w:hint="eastAsia" w:eastAsia="宋体"/>
        </w:rPr>
        <w:t xml:space="preserve"> of CSI request field</w:t>
      </w:r>
      <w:r>
        <w:rPr>
          <w:rFonts w:eastAsia="宋体"/>
        </w:rPr>
        <w:t xml:space="preserve"> in DCI</w:t>
      </w:r>
      <w:r>
        <w:rPr>
          <w:rFonts w:hint="eastAsia" w:eastAsia="宋体"/>
        </w:rPr>
        <w:t xml:space="preserve">. </w:t>
      </w:r>
      <w:r>
        <w:rPr>
          <w:rFonts w:eastAsia="宋体"/>
        </w:rPr>
        <w:t>But, for saving the UE complexity for non-serving cell measurement, this rule of disabling the legacy MAC-CE should be removed.</w:t>
      </w:r>
      <w:r>
        <w:rPr>
          <w:rFonts w:hint="eastAsia" w:eastAsia="宋体"/>
        </w:rPr>
        <w:t xml:space="preserve"> </w:t>
      </w:r>
      <w:r>
        <w:rPr>
          <w:rFonts w:eastAsia="宋体"/>
        </w:rPr>
        <w:t xml:space="preserve">To be more specific, </w:t>
      </w:r>
      <w:r>
        <w:rPr>
          <w:rFonts w:hint="eastAsia" w:eastAsia="宋体"/>
        </w:rPr>
        <w:t xml:space="preserve">even if the number of trigger states configured by RRC is smaller than or equal to </w:t>
      </w:r>
      <w:r>
        <w:rPr>
          <w:position w:val="-4"/>
        </w:rPr>
        <w:object>
          <v:shape id="_x0000_i1026" o:spt="75" type="#_x0000_t75" style="height:14.15pt;width:36.45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r>
        <w:rPr>
          <w:rFonts w:hint="eastAsia" w:eastAsia="宋体"/>
          <w:position w:val="-4"/>
        </w:rPr>
        <w:t xml:space="preserve">, the </w:t>
      </w:r>
      <w:r>
        <w:rPr>
          <w:rFonts w:eastAsia="宋体"/>
          <w:position w:val="-4"/>
        </w:rPr>
        <w:t xml:space="preserve">legacy </w:t>
      </w:r>
      <w:r>
        <w:rPr>
          <w:rFonts w:hint="eastAsia" w:eastAsia="宋体"/>
          <w:position w:val="-4"/>
        </w:rPr>
        <w:t>MAC-CE</w:t>
      </w:r>
      <w:r>
        <w:t xml:space="preserve"> </w:t>
      </w:r>
      <w:r>
        <w:rPr>
          <w:rFonts w:eastAsia="宋体"/>
          <w:position w:val="-4"/>
        </w:rPr>
        <w:t xml:space="preserve">for activating AP-CSI triggering state(s) </w:t>
      </w:r>
      <w:r>
        <w:rPr>
          <w:rFonts w:hint="eastAsia" w:eastAsia="宋体"/>
          <w:position w:val="-4"/>
        </w:rPr>
        <w:t xml:space="preserve">is </w:t>
      </w:r>
      <w:r>
        <w:rPr>
          <w:rFonts w:eastAsia="宋体"/>
          <w:position w:val="-4"/>
        </w:rPr>
        <w:t xml:space="preserve">also </w:t>
      </w:r>
      <w:r>
        <w:rPr>
          <w:rFonts w:hint="eastAsia" w:eastAsia="宋体"/>
          <w:position w:val="-4"/>
        </w:rPr>
        <w:t>needed</w:t>
      </w:r>
      <w:r>
        <w:rPr>
          <w:rFonts w:eastAsia="宋体"/>
          <w:position w:val="-4"/>
        </w:rPr>
        <w:t>, where</w:t>
      </w:r>
      <w:r>
        <w:rPr>
          <w:rFonts w:hint="eastAsia" w:eastAsia="宋体"/>
          <w:position w:val="-4"/>
        </w:rPr>
        <w:t xml:space="preserve"> </w:t>
      </w:r>
      <w:r>
        <w:rPr>
          <w:rFonts w:eastAsia="宋体"/>
          <w:i/>
          <w:position w:val="-4"/>
        </w:rPr>
        <w:t>N</w:t>
      </w:r>
      <w:r>
        <w:rPr>
          <w:rFonts w:eastAsia="宋体"/>
          <w:i/>
          <w:position w:val="-4"/>
          <w:vertAlign w:val="subscript"/>
        </w:rPr>
        <w:t>TS</w:t>
      </w:r>
      <w:r>
        <w:rPr>
          <w:rFonts w:eastAsia="宋体"/>
        </w:rPr>
        <w:t xml:space="preserve"> </w:t>
      </w:r>
      <w:r>
        <w:rPr>
          <w:rFonts w:hint="eastAsia" w:eastAsia="宋体"/>
          <w:position w:val="-4"/>
        </w:rPr>
        <w:t>is the number of bits of the CSI request field.</w:t>
      </w:r>
    </w:p>
    <w:p>
      <w:pPr>
        <w:pStyle w:val="109"/>
        <w:widowControl w:val="0"/>
        <w:numPr>
          <w:ilvl w:val="0"/>
          <w:numId w:val="15"/>
        </w:numPr>
        <w:snapToGrid w:val="0"/>
        <w:spacing w:before="120" w:after="120" w:afterLines="50" w:line="300" w:lineRule="auto"/>
        <w:ind w:left="400" w:hanging="400" w:hangingChars="200"/>
        <w:jc w:val="both"/>
        <w:rPr>
          <w:rFonts w:eastAsia="宋体"/>
        </w:rPr>
      </w:pPr>
      <w:r>
        <w:rPr>
          <w:rFonts w:hint="eastAsia" w:eastAsia="宋体"/>
        </w:rPr>
        <w:t xml:space="preserve">Before the SSB of a neighboring cell is activated, the SSB of the neighboring cell only can be measured in SMTC to save UE power. After the SSB </w:t>
      </w:r>
      <w:r>
        <w:rPr>
          <w:rFonts w:eastAsia="宋体"/>
        </w:rPr>
        <w:t>of the</w:t>
      </w:r>
      <w:r>
        <w:rPr>
          <w:rFonts w:hint="eastAsia" w:eastAsia="宋体"/>
        </w:rPr>
        <w:t xml:space="preserve"> neighboring cell is activated, the SSB can be measured according to SSB pattern and periodicity configured for the PCI of the neighboring cell without restriction of SMTC. The SSB time domain pattern and periodicity of PCI of the neighboring cell can be configured by RRC </w:t>
      </w:r>
      <w:r>
        <w:rPr>
          <w:rFonts w:eastAsia="宋体"/>
        </w:rPr>
        <w:t>as agreed for</w:t>
      </w:r>
      <w:r>
        <w:rPr>
          <w:rFonts w:hint="eastAsia" w:eastAsia="宋体"/>
        </w:rPr>
        <w:t xml:space="preserve"> inter-cell MTRP in the </w:t>
      </w:r>
      <w:r>
        <w:rPr>
          <w:rFonts w:eastAsia="宋体"/>
        </w:rPr>
        <w:t>non-serving cell information.</w:t>
      </w:r>
      <w:r>
        <w:rPr>
          <w:rFonts w:hint="eastAsia" w:eastAsia="宋体"/>
        </w:rPr>
        <w:t xml:space="preserve"> The PCI of the neighboring cell refers to a PCI different from PCI of a serving cell. Because the Rel-15 RSRP table is reused, the SSB should be measured outside SMTC based on time domain pattern as SSB associated with PCI of serving cell to ensure the accuracy of measurement of neighboring cell SSB. </w:t>
      </w:r>
    </w:p>
    <w:p>
      <w:pPr>
        <w:pStyle w:val="109"/>
        <w:widowControl w:val="0"/>
        <w:numPr>
          <w:ilvl w:val="0"/>
          <w:numId w:val="15"/>
        </w:numPr>
        <w:snapToGrid w:val="0"/>
        <w:spacing w:before="120" w:after="120" w:afterLines="50" w:line="300" w:lineRule="auto"/>
        <w:ind w:left="400" w:hanging="400" w:hangingChars="200"/>
        <w:jc w:val="both"/>
        <w:rPr>
          <w:rFonts w:eastAsia="宋体"/>
        </w:rPr>
      </w:pPr>
      <w:r>
        <w:rPr>
          <w:rFonts w:hint="eastAsia" w:eastAsia="宋体"/>
        </w:rPr>
        <w:t xml:space="preserve">In addition, only </w:t>
      </w:r>
      <w:r>
        <w:rPr>
          <w:rFonts w:eastAsia="宋体"/>
        </w:rPr>
        <w:t xml:space="preserve">when </w:t>
      </w:r>
      <w:r>
        <w:rPr>
          <w:rFonts w:hint="eastAsia" w:eastAsia="宋体"/>
        </w:rPr>
        <w:t>the SSB of PCI different from serving cell is activated, the PRB of the SSB is unavailable for PDSCH</w:t>
      </w:r>
      <w:r>
        <w:rPr>
          <w:rFonts w:eastAsia="宋体"/>
        </w:rPr>
        <w:t>. O</w:t>
      </w:r>
      <w:r>
        <w:rPr>
          <w:rFonts w:hint="eastAsia" w:eastAsia="宋体"/>
        </w:rPr>
        <w:t>therwise</w:t>
      </w:r>
      <w:r>
        <w:rPr>
          <w:rFonts w:eastAsia="宋体"/>
        </w:rPr>
        <w:t>, for</w:t>
      </w:r>
      <w:r>
        <w:rPr>
          <w:rFonts w:hint="eastAsia" w:eastAsia="宋体"/>
        </w:rPr>
        <w:t xml:space="preserve"> PDSCH</w:t>
      </w:r>
      <w:r>
        <w:rPr>
          <w:rFonts w:eastAsia="宋体"/>
        </w:rPr>
        <w:t>,</w:t>
      </w:r>
      <w:r>
        <w:rPr>
          <w:rFonts w:hint="eastAsia" w:eastAsia="宋体"/>
        </w:rPr>
        <w:t xml:space="preserve"> rate mat</w:t>
      </w:r>
      <w:r>
        <w:rPr>
          <w:rFonts w:eastAsia="宋体"/>
        </w:rPr>
        <w:t>ch</w:t>
      </w:r>
      <w:r>
        <w:rPr>
          <w:rFonts w:hint="eastAsia" w:eastAsia="宋体"/>
        </w:rPr>
        <w:t xml:space="preserve">ing </w:t>
      </w:r>
      <w:r>
        <w:rPr>
          <w:rFonts w:eastAsia="宋体"/>
        </w:rPr>
        <w:t xml:space="preserve">does NOT need to be performed </w:t>
      </w:r>
      <w:r>
        <w:rPr>
          <w:rFonts w:hint="eastAsia" w:eastAsia="宋体"/>
        </w:rPr>
        <w:t xml:space="preserve">according to the SSB of </w:t>
      </w:r>
      <w:r>
        <w:rPr>
          <w:rFonts w:eastAsia="宋体"/>
        </w:rPr>
        <w:t>any neighboring</w:t>
      </w:r>
      <w:r>
        <w:rPr>
          <w:rFonts w:hint="eastAsia" w:eastAsia="宋体"/>
        </w:rPr>
        <w:t xml:space="preserve"> cell</w:t>
      </w:r>
      <w:r>
        <w:rPr>
          <w:rFonts w:eastAsia="宋体"/>
        </w:rPr>
        <w:t>s</w:t>
      </w:r>
      <w:r>
        <w:rPr>
          <w:rFonts w:hint="eastAsia" w:eastAsia="宋体"/>
        </w:rPr>
        <w:t xml:space="preserve">. </w:t>
      </w:r>
      <w:r>
        <w:rPr>
          <w:rFonts w:eastAsia="宋体"/>
        </w:rPr>
        <w:t>Similarly, t</w:t>
      </w:r>
      <w:r>
        <w:rPr>
          <w:rFonts w:hint="eastAsia" w:eastAsia="宋体"/>
        </w:rPr>
        <w:t xml:space="preserve">he UE determines whether a </w:t>
      </w:r>
      <w:r>
        <w:rPr>
          <w:rFonts w:eastAsia="宋体"/>
        </w:rPr>
        <w:t xml:space="preserve">UL </w:t>
      </w:r>
      <w:r>
        <w:rPr>
          <w:rFonts w:hint="eastAsia" w:eastAsia="宋体"/>
        </w:rPr>
        <w:t xml:space="preserve">resource can be </w:t>
      </w:r>
      <w:r>
        <w:rPr>
          <w:rFonts w:eastAsia="宋体"/>
        </w:rPr>
        <w:t xml:space="preserve">available for </w:t>
      </w:r>
      <w:r>
        <w:rPr>
          <w:rFonts w:hint="eastAsia" w:eastAsia="宋体"/>
        </w:rPr>
        <w:t xml:space="preserve">uplink transmission </w:t>
      </w:r>
      <w:r>
        <w:rPr>
          <w:rFonts w:eastAsia="宋体"/>
        </w:rPr>
        <w:t xml:space="preserve">only considering activated </w:t>
      </w:r>
      <w:r>
        <w:rPr>
          <w:rFonts w:hint="eastAsia" w:eastAsia="宋体"/>
        </w:rPr>
        <w:t>SSB of neighbor cell</w:t>
      </w:r>
      <w:r>
        <w:rPr>
          <w:rFonts w:eastAsia="宋体"/>
        </w:rPr>
        <w:t>, rather than configured one</w:t>
      </w:r>
      <w:r>
        <w:rPr>
          <w:rFonts w:hint="eastAsia" w:eastAsia="宋体"/>
        </w:rPr>
        <w:t xml:space="preserve">. </w:t>
      </w:r>
    </w:p>
    <w:p>
      <w:pPr>
        <w:snapToGrid w:val="0"/>
        <w:spacing w:before="120" w:after="120" w:afterLines="50" w:line="300" w:lineRule="auto"/>
        <w:jc w:val="both"/>
        <w:rPr>
          <w:rFonts w:eastAsia="微软雅黑"/>
          <w:i/>
          <w:iCs/>
          <w:szCs w:val="20"/>
        </w:rPr>
      </w:pPr>
      <w:r>
        <w:rPr>
          <w:rFonts w:eastAsia="微软雅黑"/>
          <w:b/>
          <w:bCs/>
          <w:i/>
          <w:iCs/>
          <w:szCs w:val="20"/>
        </w:rPr>
        <w:t xml:space="preserve">Proposal </w:t>
      </w:r>
      <w:r>
        <w:rPr>
          <w:rFonts w:hint="eastAsia" w:eastAsia="微软雅黑"/>
          <w:b/>
          <w:bCs/>
          <w:i/>
          <w:iCs/>
          <w:szCs w:val="20"/>
          <w:lang w:val="en-US" w:eastAsia="zh-CN"/>
        </w:rPr>
        <w:t>9</w:t>
      </w:r>
      <w:r>
        <w:rPr>
          <w:rFonts w:eastAsia="微软雅黑"/>
          <w:b/>
          <w:bCs/>
          <w:i/>
          <w:iCs/>
          <w:szCs w:val="20"/>
        </w:rPr>
        <w:t>:</w:t>
      </w:r>
      <w:r>
        <w:rPr>
          <w:rFonts w:eastAsia="微软雅黑"/>
          <w:i/>
          <w:iCs/>
          <w:szCs w:val="20"/>
        </w:rPr>
        <w:t xml:space="preserve"> For L1-RSRP measurement for semi-persistent and aperiodic reporting in L1/L2-centric inter-cell mobility and inter-cell mTRP, the measurement of non-serving cell SSB(s) can be activated/deactivated by MAC-CE</w:t>
      </w:r>
    </w:p>
    <w:p>
      <w:pPr>
        <w:pStyle w:val="111"/>
        <w:numPr>
          <w:ilvl w:val="0"/>
          <w:numId w:val="15"/>
        </w:numPr>
        <w:snapToGrid w:val="0"/>
        <w:spacing w:before="120" w:after="120" w:afterLines="50" w:line="300" w:lineRule="auto"/>
        <w:ind w:left="400" w:firstLineChars="0"/>
        <w:jc w:val="both"/>
        <w:rPr>
          <w:rFonts w:eastAsia="微软雅黑"/>
          <w:i/>
          <w:iCs/>
          <w:szCs w:val="20"/>
        </w:rPr>
      </w:pPr>
      <w:r>
        <w:rPr>
          <w:rFonts w:eastAsia="微软雅黑"/>
          <w:i/>
          <w:iCs/>
          <w:szCs w:val="20"/>
        </w:rPr>
        <w:t xml:space="preserve">Regarding semi-persistent </w:t>
      </w:r>
      <w:r>
        <w:rPr>
          <w:rFonts w:hint="eastAsia" w:eastAsia="微软雅黑"/>
          <w:i/>
          <w:iCs/>
          <w:szCs w:val="20"/>
        </w:rPr>
        <w:t>measurement of non-serving cell SSB</w:t>
      </w:r>
      <w:r>
        <w:rPr>
          <w:rFonts w:eastAsia="微软雅黑"/>
          <w:i/>
          <w:iCs/>
          <w:szCs w:val="20"/>
        </w:rPr>
        <w:t>, non-serving cell information (rather than TCI state in the legacy MAC-CE for SP-CSI-RS activation) can be activated by MAC CE for each SSB resource in a RRC configured SSB set.</w:t>
      </w:r>
    </w:p>
    <w:p>
      <w:pPr>
        <w:pStyle w:val="111"/>
        <w:numPr>
          <w:ilvl w:val="0"/>
          <w:numId w:val="15"/>
        </w:numPr>
        <w:snapToGrid w:val="0"/>
        <w:spacing w:before="120" w:after="120" w:afterLines="50" w:line="300" w:lineRule="auto"/>
        <w:ind w:left="400" w:firstLineChars="0"/>
        <w:jc w:val="both"/>
        <w:rPr>
          <w:rFonts w:eastAsia="微软雅黑"/>
          <w:i/>
          <w:iCs/>
          <w:szCs w:val="20"/>
        </w:rPr>
      </w:pPr>
      <w:r>
        <w:rPr>
          <w:rFonts w:eastAsia="微软雅黑"/>
          <w:i/>
          <w:iCs/>
          <w:szCs w:val="20"/>
        </w:rPr>
        <w:t xml:space="preserve">Regarding aperiodic </w:t>
      </w:r>
      <w:r>
        <w:rPr>
          <w:rFonts w:hint="eastAsia" w:eastAsia="微软雅黑"/>
          <w:i/>
          <w:iCs/>
          <w:szCs w:val="20"/>
        </w:rPr>
        <w:t>measurement of non-serving cell SSB</w:t>
      </w:r>
      <w:r>
        <w:rPr>
          <w:rFonts w:eastAsia="微软雅黑"/>
          <w:i/>
          <w:iCs/>
          <w:szCs w:val="20"/>
        </w:rPr>
        <w:t xml:space="preserve">, </w:t>
      </w:r>
      <w:r>
        <w:rPr>
          <w:rFonts w:hint="eastAsia" w:eastAsia="微软雅黑"/>
          <w:i/>
          <w:iCs/>
          <w:szCs w:val="20"/>
        </w:rPr>
        <w:t xml:space="preserve">aperiodic CSI-RS in </w:t>
      </w:r>
      <w:r>
        <w:rPr>
          <w:rFonts w:eastAsia="微软雅黑"/>
          <w:i/>
          <w:iCs/>
          <w:szCs w:val="20"/>
        </w:rPr>
        <w:t>a</w:t>
      </w:r>
      <w:r>
        <w:rPr>
          <w:rFonts w:hint="eastAsia" w:eastAsia="微软雅黑"/>
          <w:i/>
          <w:iCs/>
          <w:szCs w:val="20"/>
        </w:rPr>
        <w:t xml:space="preserve"> trigger state can be </w:t>
      </w:r>
      <w:r>
        <w:rPr>
          <w:rFonts w:eastAsia="微软雅黑"/>
          <w:i/>
          <w:iCs/>
          <w:szCs w:val="20"/>
        </w:rPr>
        <w:t>associated with non-serving cell information in RRC (rather than being configured per aperiodic CSI-RS resource), and then the legacy MAC-CE for activating AP-CSI triggering sate is reused for dynamically enabling the measurement</w:t>
      </w:r>
      <w:r>
        <w:rPr>
          <w:rFonts w:hint="eastAsia" w:eastAsia="微软雅黑"/>
          <w:i/>
          <w:iCs/>
          <w:szCs w:val="20"/>
        </w:rPr>
        <w:t xml:space="preserve"> of non-serving cell SSB</w:t>
      </w:r>
      <w:r>
        <w:rPr>
          <w:rFonts w:eastAsia="微软雅黑"/>
          <w:i/>
          <w:iCs/>
          <w:szCs w:val="20"/>
        </w:rPr>
        <w:t xml:space="preserve">. </w:t>
      </w:r>
    </w:p>
    <w:p>
      <w:pPr>
        <w:pStyle w:val="111"/>
        <w:numPr>
          <w:ilvl w:val="1"/>
          <w:numId w:val="15"/>
        </w:numPr>
        <w:snapToGrid w:val="0"/>
        <w:spacing w:before="120" w:after="120" w:afterLines="50" w:line="300" w:lineRule="auto"/>
        <w:ind w:left="800" w:firstLineChars="0"/>
        <w:jc w:val="both"/>
        <w:rPr>
          <w:rFonts w:eastAsia="微软雅黑"/>
          <w:i/>
          <w:iCs/>
          <w:szCs w:val="20"/>
        </w:rPr>
      </w:pPr>
      <w:r>
        <w:rPr>
          <w:rFonts w:eastAsia="微软雅黑"/>
          <w:i/>
          <w:iCs/>
          <w:szCs w:val="20"/>
        </w:rPr>
        <w:t xml:space="preserve">Note that, compared with Rel-15/16, the legacy MAC-CE should be always used, regardless whether the number of RRC candidate triggering states is greater than the maximum number of candidate </w:t>
      </w:r>
      <w:r>
        <w:rPr>
          <w:rFonts w:hint="eastAsia" w:eastAsia="微软雅黑"/>
          <w:i/>
          <w:iCs/>
          <w:szCs w:val="20"/>
        </w:rPr>
        <w:t>codepoint</w:t>
      </w:r>
      <w:r>
        <w:rPr>
          <w:rFonts w:eastAsia="微软雅黑"/>
          <w:i/>
          <w:iCs/>
          <w:szCs w:val="20"/>
        </w:rPr>
        <w:t>s</w:t>
      </w:r>
      <w:r>
        <w:rPr>
          <w:rFonts w:hint="eastAsia" w:eastAsia="微软雅黑"/>
          <w:i/>
          <w:iCs/>
          <w:szCs w:val="20"/>
        </w:rPr>
        <w:t xml:space="preserve"> of CSI request field</w:t>
      </w:r>
      <w:r>
        <w:rPr>
          <w:rFonts w:eastAsia="微软雅黑"/>
          <w:i/>
          <w:iCs/>
          <w:szCs w:val="20"/>
        </w:rPr>
        <w:t xml:space="preserve"> in DCI.</w:t>
      </w:r>
    </w:p>
    <w:p>
      <w:pPr>
        <w:pStyle w:val="111"/>
        <w:numPr>
          <w:ilvl w:val="0"/>
          <w:numId w:val="15"/>
        </w:numPr>
        <w:snapToGrid w:val="0"/>
        <w:spacing w:before="120" w:after="120" w:afterLines="50" w:line="300" w:lineRule="auto"/>
        <w:ind w:left="400" w:firstLineChars="0"/>
        <w:jc w:val="both"/>
        <w:rPr>
          <w:rFonts w:eastAsia="微软雅黑"/>
          <w:i/>
          <w:iCs/>
          <w:szCs w:val="20"/>
        </w:rPr>
      </w:pPr>
      <w:r>
        <w:rPr>
          <w:rFonts w:eastAsia="微软雅黑"/>
          <w:i/>
          <w:iCs/>
          <w:szCs w:val="20"/>
        </w:rPr>
        <w:t xml:space="preserve">PDSCH rate matching and </w:t>
      </w:r>
      <w:r>
        <w:rPr>
          <w:rFonts w:hint="eastAsia" w:eastAsia="微软雅黑"/>
          <w:i/>
          <w:iCs/>
          <w:szCs w:val="20"/>
        </w:rPr>
        <w:t xml:space="preserve">available </w:t>
      </w:r>
      <w:r>
        <w:rPr>
          <w:rFonts w:eastAsia="微软雅黑"/>
          <w:i/>
          <w:iCs/>
          <w:szCs w:val="20"/>
        </w:rPr>
        <w:t>uplink transmission resources should be determined according to activated SSB of neighboring cell.</w:t>
      </w:r>
    </w:p>
    <w:p>
      <w:pPr>
        <w:pStyle w:val="111"/>
        <w:numPr>
          <w:ilvl w:val="0"/>
          <w:numId w:val="15"/>
        </w:numPr>
        <w:snapToGrid w:val="0"/>
        <w:spacing w:before="120" w:after="120" w:afterLines="50" w:line="300" w:lineRule="auto"/>
        <w:ind w:left="400" w:firstLineChars="0"/>
        <w:jc w:val="both"/>
        <w:rPr>
          <w:rFonts w:eastAsia="微软雅黑"/>
          <w:i/>
          <w:iCs/>
          <w:szCs w:val="20"/>
        </w:rPr>
      </w:pPr>
      <w:r>
        <w:rPr>
          <w:rFonts w:hint="eastAsia" w:eastAsia="微软雅黑"/>
          <w:i/>
          <w:iCs/>
          <w:szCs w:val="20"/>
        </w:rPr>
        <w:t xml:space="preserve">After SSB </w:t>
      </w:r>
      <w:r>
        <w:rPr>
          <w:rFonts w:eastAsia="微软雅黑"/>
          <w:i/>
          <w:iCs/>
          <w:szCs w:val="20"/>
        </w:rPr>
        <w:t>with</w:t>
      </w:r>
      <w:r>
        <w:rPr>
          <w:rFonts w:hint="eastAsia" w:eastAsia="微软雅黑"/>
          <w:i/>
          <w:iCs/>
          <w:szCs w:val="20"/>
        </w:rPr>
        <w:t xml:space="preserve"> </w:t>
      </w:r>
      <w:r>
        <w:rPr>
          <w:rFonts w:eastAsia="微软雅黑"/>
          <w:i/>
          <w:iCs/>
          <w:szCs w:val="20"/>
        </w:rPr>
        <w:t xml:space="preserve">different </w:t>
      </w:r>
      <w:r>
        <w:rPr>
          <w:rFonts w:hint="eastAsia" w:eastAsia="微软雅黑"/>
          <w:i/>
          <w:iCs/>
          <w:szCs w:val="20"/>
        </w:rPr>
        <w:t>PCI</w:t>
      </w:r>
      <w:r>
        <w:rPr>
          <w:rFonts w:eastAsia="微软雅黑"/>
          <w:i/>
          <w:iCs/>
          <w:szCs w:val="20"/>
        </w:rPr>
        <w:t xml:space="preserve"> from serving cell</w:t>
      </w:r>
      <w:r>
        <w:rPr>
          <w:rFonts w:hint="eastAsia" w:eastAsia="微软雅黑"/>
          <w:i/>
          <w:iCs/>
          <w:szCs w:val="20"/>
        </w:rPr>
        <w:t xml:space="preserve"> is activated, the SSB can be measured according to </w:t>
      </w:r>
      <w:r>
        <w:rPr>
          <w:rFonts w:eastAsia="微软雅黑"/>
          <w:i/>
          <w:iCs/>
          <w:szCs w:val="20"/>
        </w:rPr>
        <w:t xml:space="preserve">non-serving cell information (i.e., </w:t>
      </w:r>
      <w:r>
        <w:rPr>
          <w:rFonts w:hint="eastAsia" w:eastAsia="微软雅黑"/>
          <w:i/>
          <w:iCs/>
          <w:szCs w:val="20"/>
        </w:rPr>
        <w:t>SSB time domain pattern and periodicity</w:t>
      </w:r>
      <w:r>
        <w:rPr>
          <w:rFonts w:eastAsia="微软雅黑"/>
          <w:i/>
          <w:iCs/>
          <w:szCs w:val="20"/>
        </w:rPr>
        <w:t xml:space="preserve">) </w:t>
      </w:r>
      <w:r>
        <w:rPr>
          <w:rFonts w:hint="eastAsia" w:eastAsia="微软雅黑"/>
          <w:i/>
          <w:iCs/>
          <w:szCs w:val="20"/>
        </w:rPr>
        <w:t>without restriction of SMTC</w:t>
      </w:r>
      <w:r>
        <w:rPr>
          <w:rFonts w:eastAsia="微软雅黑"/>
          <w:i/>
          <w:iCs/>
          <w:szCs w:val="20"/>
        </w:rPr>
        <w:t>; otherwise, the SSB only can be measured in SMTC</w:t>
      </w:r>
      <w:r>
        <w:rPr>
          <w:rFonts w:hint="eastAsia" w:eastAsia="微软雅黑"/>
          <w:i/>
          <w:iCs/>
          <w:szCs w:val="20"/>
        </w:rPr>
        <w:t>.</w:t>
      </w:r>
    </w:p>
    <w:p>
      <w:pPr>
        <w:numPr>
          <w:ilvl w:val="2"/>
          <w:numId w:val="7"/>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hint="eastAsia" w:eastAsia="宋体"/>
          <w:b/>
          <w:sz w:val="21"/>
          <w:szCs w:val="20"/>
        </w:rPr>
        <w:t>UE-Initiated L1/L2 reporting of neighboring cell</w:t>
      </w:r>
    </w:p>
    <w:p>
      <w:pPr>
        <w:pStyle w:val="109"/>
        <w:numPr>
          <w:ilvl w:val="255"/>
          <w:numId w:val="0"/>
        </w:numPr>
        <w:snapToGrid w:val="0"/>
        <w:spacing w:before="60" w:beforeLines="25" w:after="60" w:afterLines="25" w:line="300" w:lineRule="auto"/>
        <w:jc w:val="both"/>
        <w:rPr>
          <w:rFonts w:eastAsia="宋体"/>
          <w:szCs w:val="20"/>
        </w:rPr>
      </w:pPr>
      <w:r>
        <w:rPr>
          <w:rFonts w:hint="eastAsia" w:eastAsia="宋体"/>
          <w:szCs w:val="20"/>
        </w:rPr>
        <w:t xml:space="preserve">In RAN1#106-e, there is following agreement about L1/L2-centric inter-cell reporting.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111"/>
              <w:numPr>
                <w:ilvl w:val="255"/>
                <w:numId w:val="0"/>
              </w:numPr>
              <w:autoSpaceDN w:val="0"/>
              <w:snapToGrid w:val="0"/>
              <w:spacing w:after="0" w:line="240" w:lineRule="auto"/>
              <w:rPr>
                <w:rFonts w:eastAsia="宋体" w:cs="Times"/>
                <w:b/>
                <w:bCs/>
                <w:szCs w:val="20"/>
                <w:u w:val="single"/>
              </w:rPr>
            </w:pPr>
            <w:r>
              <w:rPr>
                <w:rFonts w:cs="Times"/>
                <w:b/>
                <w:bCs/>
                <w:szCs w:val="20"/>
                <w:u w:val="single"/>
              </w:rPr>
              <w:t>Agreement</w:t>
            </w:r>
          </w:p>
          <w:p>
            <w:pPr>
              <w:snapToGrid w:val="0"/>
              <w:spacing w:after="60"/>
              <w:jc w:val="both"/>
              <w:rPr>
                <w:rFonts w:cs="Times"/>
              </w:rPr>
            </w:pPr>
            <w:r>
              <w:rPr>
                <w:rFonts w:cs="Times"/>
              </w:rPr>
              <w:t>On Rel.17 L1-RSRP multi-beam measurement/reporting enhancements for inter-cell beam management and inter-cell mTRP, in RAN1#106bis-e, select one of the following alternatives:</w:t>
            </w:r>
          </w:p>
          <w:p>
            <w:pPr>
              <w:numPr>
                <w:ilvl w:val="0"/>
                <w:numId w:val="18"/>
              </w:numPr>
              <w:snapToGrid w:val="0"/>
              <w:spacing w:after="60"/>
              <w:jc w:val="both"/>
              <w:rPr>
                <w:rFonts w:eastAsia="Times New Roman" w:cs="Times"/>
              </w:rPr>
            </w:pPr>
            <w:r>
              <w:rPr>
                <w:rFonts w:eastAsia="Times New Roman" w:cs="Times"/>
              </w:rPr>
              <w:t>Alt1. Support L1-based event-driven beam reporting for inter-cell beam management and inter-cell mTRP</w:t>
            </w:r>
          </w:p>
          <w:p>
            <w:pPr>
              <w:numPr>
                <w:ilvl w:val="0"/>
                <w:numId w:val="18"/>
              </w:numPr>
              <w:snapToGrid w:val="0"/>
              <w:spacing w:after="60"/>
              <w:jc w:val="both"/>
              <w:rPr>
                <w:rFonts w:eastAsia="Times New Roman" w:cs="Times"/>
              </w:rPr>
            </w:pPr>
            <w:r>
              <w:rPr>
                <w:rFonts w:eastAsia="Times New Roman" w:cs="Times"/>
              </w:rPr>
              <w:t>Alt2. Support MAC CE based event-driven beam reporting for inter-cell beam management and inter-cell mTRP</w:t>
            </w:r>
          </w:p>
          <w:p>
            <w:pPr>
              <w:numPr>
                <w:ilvl w:val="0"/>
                <w:numId w:val="18"/>
              </w:numPr>
              <w:snapToGrid w:val="0"/>
              <w:spacing w:after="60" w:line="240" w:lineRule="auto"/>
              <w:jc w:val="both"/>
              <w:rPr>
                <w:rFonts w:eastAsia="宋体"/>
                <w:szCs w:val="24"/>
              </w:rPr>
            </w:pPr>
            <w:r>
              <w:rPr>
                <w:rFonts w:eastAsia="Times New Roman" w:cs="Times"/>
              </w:rPr>
              <w:t>Alt3. In Rel-17, event-driven beam reporting is not supported for inter-cell beam management and inter-cell m</w:t>
            </w:r>
            <w:r>
              <w:rPr>
                <w:rFonts w:hint="eastAsia" w:eastAsia="宋体" w:cs="Times"/>
              </w:rPr>
              <w:t>TRP</w:t>
            </w:r>
          </w:p>
        </w:tc>
      </w:tr>
    </w:tbl>
    <w:p>
      <w:pPr>
        <w:pStyle w:val="109"/>
        <w:snapToGrid w:val="0"/>
        <w:spacing w:before="120" w:after="120" w:afterLines="50" w:line="300" w:lineRule="auto"/>
        <w:ind w:firstLine="0" w:firstLineChars="0"/>
        <w:jc w:val="both"/>
        <w:rPr>
          <w:rFonts w:eastAsia="宋体"/>
        </w:rPr>
      </w:pPr>
      <w:r>
        <w:rPr>
          <w:rFonts w:hint="eastAsia" w:eastAsia="宋体"/>
        </w:rPr>
        <w:t>Compared with NW-</w:t>
      </w:r>
      <w:r>
        <w:rPr>
          <w:rFonts w:eastAsia="宋体"/>
        </w:rPr>
        <w:t>initiated</w:t>
      </w:r>
      <w:r>
        <w:rPr>
          <w:rFonts w:hint="eastAsia" w:eastAsia="宋体"/>
        </w:rPr>
        <w:t xml:space="preserve"> L1/L2 reporting of neighboring cell, the latency of UE-</w:t>
      </w:r>
      <w:r>
        <w:rPr>
          <w:rFonts w:eastAsia="宋体"/>
        </w:rPr>
        <w:t>i</w:t>
      </w:r>
      <w:r>
        <w:rPr>
          <w:rFonts w:hint="eastAsia" w:eastAsia="宋体"/>
        </w:rPr>
        <w:t xml:space="preserve">nitiated L1/L2 reporting </w:t>
      </w:r>
      <w:r>
        <w:rPr>
          <w:rFonts w:eastAsia="宋体"/>
        </w:rPr>
        <w:t>should be much</w:t>
      </w:r>
      <w:r>
        <w:rPr>
          <w:rFonts w:hint="eastAsia" w:eastAsia="宋体"/>
        </w:rPr>
        <w:t xml:space="preserve"> smaller because the UE can initiate the L1 reporting for a neighboring cell </w:t>
      </w:r>
      <w:r>
        <w:rPr>
          <w:rFonts w:eastAsia="宋体"/>
        </w:rPr>
        <w:t xml:space="preserve">by trigger event </w:t>
      </w:r>
      <w:r>
        <w:rPr>
          <w:rFonts w:hint="eastAsia" w:eastAsia="宋体"/>
        </w:rPr>
        <w:t>without waiting for the signaling from gNB</w:t>
      </w:r>
      <w:r>
        <w:rPr>
          <w:rFonts w:eastAsia="宋体"/>
        </w:rPr>
        <w:t>,</w:t>
      </w:r>
      <w:r>
        <w:rPr>
          <w:rFonts w:hint="eastAsia" w:eastAsia="宋体"/>
        </w:rPr>
        <w:t xml:space="preserve"> and </w:t>
      </w:r>
      <w:r>
        <w:rPr>
          <w:rFonts w:eastAsia="宋体"/>
        </w:rPr>
        <w:t xml:space="preserve">meanwhile </w:t>
      </w:r>
      <w:r>
        <w:rPr>
          <w:rFonts w:hint="eastAsia" w:eastAsia="宋体"/>
        </w:rPr>
        <w:t xml:space="preserve">the L1 reporting on demand </w:t>
      </w:r>
      <w:r>
        <w:rPr>
          <w:rFonts w:eastAsia="宋体"/>
        </w:rPr>
        <w:t xml:space="preserve">can </w:t>
      </w:r>
      <w:r>
        <w:rPr>
          <w:rFonts w:hint="eastAsia" w:eastAsia="宋体"/>
        </w:rPr>
        <w:t xml:space="preserve">save </w:t>
      </w:r>
      <w:r>
        <w:rPr>
          <w:rFonts w:eastAsia="宋体"/>
        </w:rPr>
        <w:t xml:space="preserve">UE </w:t>
      </w:r>
      <w:r>
        <w:rPr>
          <w:rFonts w:hint="eastAsia" w:eastAsia="宋体"/>
        </w:rPr>
        <w:t xml:space="preserve">power </w:t>
      </w:r>
      <w:r>
        <w:rPr>
          <w:rFonts w:eastAsia="宋体"/>
        </w:rPr>
        <w:t xml:space="preserve">consumption significantly </w:t>
      </w:r>
      <w:r>
        <w:rPr>
          <w:rFonts w:hint="eastAsia" w:eastAsia="宋体"/>
        </w:rPr>
        <w:t>as BFR</w:t>
      </w:r>
      <w:r>
        <w:rPr>
          <w:rFonts w:eastAsia="宋体"/>
        </w:rPr>
        <w:t xml:space="preserve"> procedure</w:t>
      </w:r>
      <w:r>
        <w:rPr>
          <w:rFonts w:hint="eastAsia" w:eastAsia="宋体"/>
        </w:rPr>
        <w:t>.</w:t>
      </w:r>
      <w:r>
        <w:rPr>
          <w:rFonts w:eastAsia="宋体"/>
        </w:rPr>
        <w:t xml:space="preserve"> </w:t>
      </w:r>
      <w:r>
        <w:rPr>
          <w:rFonts w:hint="eastAsia" w:eastAsia="宋体"/>
        </w:rPr>
        <w:t>As the trigger event is based on L3 mobility, it can avoid too frequency reporting of neighboring cell. It can get good trade-off between power consumption and reporting in time</w:t>
      </w:r>
      <w:r>
        <w:rPr>
          <w:rFonts w:eastAsia="宋体"/>
        </w:rPr>
        <w:t>.</w:t>
      </w:r>
      <w:r>
        <w:rPr>
          <w:rFonts w:hint="eastAsia" w:eastAsia="宋体"/>
        </w:rPr>
        <w:t xml:space="preserve"> </w:t>
      </w:r>
    </w:p>
    <w:p>
      <w:pPr>
        <w:pStyle w:val="109"/>
        <w:snapToGrid w:val="0"/>
        <w:spacing w:before="120" w:after="120" w:afterLines="50" w:line="300" w:lineRule="auto"/>
        <w:ind w:firstLine="0" w:firstLineChars="0"/>
        <w:jc w:val="both"/>
        <w:rPr>
          <w:rFonts w:eastAsia="宋体"/>
        </w:rPr>
      </w:pPr>
      <w:r>
        <w:rPr>
          <w:rFonts w:hint="eastAsia" w:eastAsia="宋体"/>
        </w:rPr>
        <w:t xml:space="preserve">Comparing with Alt1, Alt2 can match the feature of event-triggered and save </w:t>
      </w:r>
      <w:r>
        <w:rPr>
          <w:rFonts w:eastAsia="宋体"/>
        </w:rPr>
        <w:t>much more</w:t>
      </w:r>
      <w:r>
        <w:rPr>
          <w:rFonts w:hint="eastAsia" w:eastAsia="宋体"/>
        </w:rPr>
        <w:t xml:space="preserve"> resource</w:t>
      </w:r>
      <w:r>
        <w:rPr>
          <w:rFonts w:eastAsia="宋体"/>
        </w:rPr>
        <w:t>s</w:t>
      </w:r>
      <w:r>
        <w:rPr>
          <w:rFonts w:hint="eastAsia" w:eastAsia="宋体"/>
        </w:rPr>
        <w:t xml:space="preserve"> because the dedicated PUCCH </w:t>
      </w:r>
      <w:r>
        <w:rPr>
          <w:rFonts w:eastAsia="宋体"/>
        </w:rPr>
        <w:t xml:space="preserve">does NOT </w:t>
      </w:r>
      <w:r>
        <w:rPr>
          <w:rFonts w:hint="eastAsia" w:eastAsia="宋体"/>
        </w:rPr>
        <w:t>need</w:t>
      </w:r>
      <w:r>
        <w:rPr>
          <w:rFonts w:eastAsia="宋体"/>
        </w:rPr>
        <w:t xml:space="preserve"> </w:t>
      </w:r>
      <w:r>
        <w:rPr>
          <w:rFonts w:hint="eastAsia" w:eastAsia="宋体"/>
        </w:rPr>
        <w:t xml:space="preserve">to be reserved. </w:t>
      </w:r>
    </w:p>
    <w:p>
      <w:pPr>
        <w:pStyle w:val="109"/>
        <w:numPr>
          <w:ilvl w:val="255"/>
          <w:numId w:val="0"/>
        </w:numPr>
        <w:snapToGrid w:val="0"/>
        <w:spacing w:before="120" w:after="120" w:afterLines="50" w:line="300" w:lineRule="auto"/>
        <w:jc w:val="both"/>
        <w:rPr>
          <w:rFonts w:eastAsia="微软雅黑"/>
          <w:i/>
          <w:szCs w:val="20"/>
        </w:rPr>
      </w:pPr>
      <w:r>
        <w:rPr>
          <w:rFonts w:hint="eastAsia"/>
          <w:b/>
          <w:bCs/>
          <w:i/>
          <w:iCs/>
        </w:rPr>
        <w:t xml:space="preserve">Proposal </w:t>
      </w:r>
      <w:r>
        <w:rPr>
          <w:rFonts w:hint="eastAsia" w:eastAsia="宋体"/>
          <w:b/>
          <w:bCs/>
          <w:i/>
          <w:iCs/>
        </w:rPr>
        <w:t>1</w:t>
      </w:r>
      <w:r>
        <w:rPr>
          <w:rFonts w:hint="eastAsia" w:eastAsia="宋体"/>
          <w:b/>
          <w:bCs/>
          <w:i/>
          <w:iCs/>
          <w:lang w:val="en-US" w:eastAsia="zh-CN"/>
        </w:rPr>
        <w:t>0</w:t>
      </w:r>
      <w:r>
        <w:rPr>
          <w:rFonts w:hint="eastAsia"/>
          <w:b/>
          <w:bCs/>
          <w:i/>
          <w:iCs/>
        </w:rPr>
        <w:t>:</w:t>
      </w:r>
      <w:r>
        <w:rPr>
          <w:b/>
          <w:bCs/>
          <w:i/>
          <w:iCs/>
        </w:rPr>
        <w:t xml:space="preserve"> </w:t>
      </w:r>
      <w:r>
        <w:rPr>
          <w:rFonts w:eastAsia="微软雅黑"/>
          <w:i/>
          <w:szCs w:val="20"/>
        </w:rPr>
        <w:t>Support MAC CE based event-driven beam reporting for inter-cell beam management and inter-cell mTRP</w:t>
      </w:r>
      <w:r>
        <w:rPr>
          <w:rFonts w:eastAsia="宋体"/>
          <w:i/>
        </w:rPr>
        <w:t>.</w:t>
      </w:r>
      <w:r>
        <w:rPr>
          <w:rFonts w:hint="eastAsia" w:eastAsia="微软雅黑"/>
          <w:i/>
          <w:szCs w:val="20"/>
        </w:rPr>
        <w:t xml:space="preserve"> </w:t>
      </w:r>
    </w:p>
    <w:p>
      <w:pPr>
        <w:numPr>
          <w:ilvl w:val="2"/>
          <w:numId w:val="7"/>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hint="eastAsia" w:eastAsia="宋体"/>
          <w:b/>
          <w:sz w:val="21"/>
          <w:szCs w:val="20"/>
        </w:rPr>
        <w:t xml:space="preserve">Different TCI state groups associated with different configuration </w:t>
      </w:r>
    </w:p>
    <w:p>
      <w:pPr>
        <w:snapToGrid w:val="0"/>
        <w:spacing w:before="60" w:beforeLines="25" w:after="120" w:afterLines="50" w:line="300" w:lineRule="auto"/>
        <w:jc w:val="both"/>
        <w:rPr>
          <w:rFonts w:eastAsia="宋体"/>
        </w:rPr>
      </w:pPr>
      <w:r>
        <w:rPr>
          <w:rFonts w:hint="eastAsia" w:eastAsia="宋体"/>
        </w:rPr>
        <w:t xml:space="preserve">In inter-cell MTRP section, </w:t>
      </w:r>
      <w:r>
        <w:rPr>
          <w:rFonts w:hint="eastAsia" w:eastAsia="宋体"/>
          <w:lang w:val="en-GB"/>
        </w:rPr>
        <w:t>different TCI state groups of a BWP can be associated with different cell configurations</w:t>
      </w:r>
      <w:r>
        <w:rPr>
          <w:rFonts w:hint="eastAsia" w:eastAsia="宋体"/>
        </w:rPr>
        <w:t xml:space="preserve"> </w:t>
      </w:r>
      <w:r>
        <w:rPr>
          <w:rFonts w:hint="eastAsia" w:eastAsia="宋体"/>
          <w:lang w:val="en-GB"/>
        </w:rPr>
        <w:t xml:space="preserve">such as PCI and </w:t>
      </w:r>
      <w:r>
        <w:rPr>
          <w:rFonts w:eastAsia="宋体"/>
          <w:lang w:val="en-GB"/>
        </w:rPr>
        <w:t>non-serving cell SSB information</w:t>
      </w:r>
      <w:r>
        <w:rPr>
          <w:rFonts w:hint="eastAsia" w:eastAsia="宋体"/>
          <w:lang w:val="en-GB"/>
        </w:rPr>
        <w:t>. So</w:t>
      </w:r>
      <w:r>
        <w:rPr>
          <w:rFonts w:hint="eastAsia" w:eastAsia="宋体"/>
        </w:rPr>
        <w:t xml:space="preserve"> each of the different TCI group is associated with a CORESET pool index in case of multi-DCI based multi-TRP,</w:t>
      </w:r>
      <w:r>
        <w:rPr>
          <w:rFonts w:eastAsia="宋体"/>
          <w:lang w:val="en-GB"/>
        </w:rPr>
        <w:t xml:space="preserve"> and thus the related RRC parameters are applied upon the corresponding TCI indication.</w:t>
      </w:r>
      <w:r>
        <w:rPr>
          <w:rFonts w:hint="eastAsia" w:eastAsia="宋体"/>
        </w:rPr>
        <w:t xml:space="preserve"> Setting association relationship between TCI state group and cell-related parameter needs group indication in each TCI state, so in the case of multi-DCI based multi-TRP transmission, setting relationship between TCI state group and cell-related parameter can be further replaced </w:t>
      </w:r>
      <w:r>
        <w:rPr>
          <w:rFonts w:eastAsia="宋体"/>
        </w:rPr>
        <w:t>with setting</w:t>
      </w:r>
      <w:r>
        <w:rPr>
          <w:rFonts w:hint="eastAsia" w:eastAsia="宋体"/>
        </w:rPr>
        <w:t xml:space="preserve"> association between CORESET pool index and cell-related </w:t>
      </w:r>
      <w:r>
        <w:rPr>
          <w:rFonts w:eastAsia="宋体"/>
        </w:rPr>
        <w:t xml:space="preserve">parameter. </w:t>
      </w:r>
    </w:p>
    <w:p>
      <w:pPr>
        <w:pStyle w:val="111"/>
        <w:numPr>
          <w:ilvl w:val="0"/>
          <w:numId w:val="15"/>
        </w:numPr>
        <w:snapToGrid w:val="0"/>
        <w:spacing w:before="60" w:beforeLines="25" w:after="120" w:afterLines="50" w:line="300" w:lineRule="auto"/>
        <w:ind w:left="400" w:firstLineChars="0"/>
        <w:jc w:val="both"/>
        <w:rPr>
          <w:rFonts w:eastAsia="宋体"/>
        </w:rPr>
      </w:pPr>
      <w:r>
        <w:rPr>
          <w:rFonts w:hint="eastAsia" w:eastAsia="宋体"/>
        </w:rPr>
        <w:t xml:space="preserve">For example, multiple </w:t>
      </w:r>
      <w:r>
        <w:rPr>
          <w:rFonts w:eastAsia="宋体"/>
        </w:rPr>
        <w:t>candidates of non-serving information can be preconfigured by RRC, and then one o</w:t>
      </w:r>
      <w:r>
        <w:rPr>
          <w:rFonts w:hint="eastAsia" w:eastAsia="宋体"/>
        </w:rPr>
        <w:t xml:space="preserve">f the multiple </w:t>
      </w:r>
      <w:r>
        <w:rPr>
          <w:rFonts w:eastAsia="宋体"/>
        </w:rPr>
        <w:t xml:space="preserve">candidates </w:t>
      </w:r>
      <w:r>
        <w:rPr>
          <w:rFonts w:hint="eastAsia" w:eastAsia="宋体"/>
        </w:rPr>
        <w:t xml:space="preserve">can be associated with one TCI state group, or one SSB resource for measurement as described in section 2.3.1. The association between TCI state groups and </w:t>
      </w:r>
      <w:r>
        <w:rPr>
          <w:rFonts w:eastAsia="宋体"/>
        </w:rPr>
        <w:t>non-serving cell information</w:t>
      </w:r>
      <w:r>
        <w:rPr>
          <w:rFonts w:hint="eastAsia" w:eastAsia="宋体"/>
        </w:rPr>
        <w:t xml:space="preserve"> can also be done by MAC-CE. The non-serving cell information is configured in UE-Specific </w:t>
      </w:r>
      <w:r>
        <w:rPr>
          <w:rFonts w:eastAsia="宋体"/>
        </w:rPr>
        <w:t>signaling</w:t>
      </w:r>
      <w:r>
        <w:rPr>
          <w:rFonts w:hint="eastAsia" w:eastAsia="宋体"/>
        </w:rPr>
        <w:t xml:space="preserve"> instead of cell specific </w:t>
      </w:r>
      <w:r>
        <w:rPr>
          <w:rFonts w:eastAsia="宋体"/>
        </w:rPr>
        <w:t>signaling</w:t>
      </w:r>
      <w:r>
        <w:rPr>
          <w:rFonts w:hint="eastAsia" w:eastAsia="宋体"/>
        </w:rPr>
        <w:t xml:space="preserve">. </w:t>
      </w:r>
    </w:p>
    <w:p>
      <w:pPr>
        <w:pStyle w:val="111"/>
        <w:numPr>
          <w:ilvl w:val="0"/>
          <w:numId w:val="15"/>
        </w:numPr>
        <w:snapToGrid w:val="0"/>
        <w:spacing w:before="60" w:beforeLines="25" w:after="120" w:afterLines="50" w:line="300" w:lineRule="auto"/>
        <w:ind w:left="400" w:firstLineChars="0"/>
        <w:jc w:val="both"/>
        <w:rPr>
          <w:rFonts w:eastAsia="宋体"/>
        </w:rPr>
      </w:pPr>
      <w:r>
        <w:rPr>
          <w:rFonts w:eastAsia="宋体"/>
        </w:rPr>
        <w:t xml:space="preserve">Note that, if there is no association with non-serving cell information, it implies that the TCI state group corresponds to </w:t>
      </w:r>
      <w:r>
        <w:rPr>
          <w:rFonts w:hint="eastAsia" w:eastAsia="宋体"/>
        </w:rPr>
        <w:t xml:space="preserve">configurations of PCI of </w:t>
      </w:r>
      <w:r>
        <w:rPr>
          <w:rFonts w:eastAsia="宋体"/>
        </w:rPr>
        <w:t>serving cell</w:t>
      </w:r>
      <w:r>
        <w:rPr>
          <w:rFonts w:hint="eastAsia" w:eastAsia="宋体"/>
        </w:rPr>
        <w:t>, i.e</w:t>
      </w:r>
      <w:r>
        <w:rPr>
          <w:rFonts w:eastAsia="宋体"/>
        </w:rPr>
        <w:t>.,</w:t>
      </w:r>
      <w:r>
        <w:rPr>
          <w:rFonts w:hint="eastAsia" w:eastAsia="宋体"/>
        </w:rPr>
        <w:t xml:space="preserve"> some configurations in common </w:t>
      </w:r>
      <w:r>
        <w:rPr>
          <w:rFonts w:eastAsia="宋体"/>
        </w:rPr>
        <w:t xml:space="preserve">signaling. </w:t>
      </w:r>
    </w:p>
    <w:p>
      <w:pPr>
        <w:snapToGrid w:val="0"/>
        <w:spacing w:before="60" w:beforeLines="25" w:after="60" w:afterLines="25" w:line="300" w:lineRule="auto"/>
        <w:jc w:val="both"/>
        <w:rPr>
          <w:rFonts w:eastAsia="微软雅黑"/>
          <w:i/>
          <w:iCs/>
          <w:szCs w:val="20"/>
        </w:rPr>
      </w:pPr>
      <w:r>
        <w:rPr>
          <w:rFonts w:hint="eastAsia" w:eastAsia="微软雅黑"/>
          <w:b/>
          <w:bCs/>
          <w:i/>
          <w:iCs/>
          <w:szCs w:val="20"/>
        </w:rPr>
        <w:t>Proposal 1</w:t>
      </w:r>
      <w:r>
        <w:rPr>
          <w:rFonts w:hint="eastAsia" w:eastAsia="微软雅黑"/>
          <w:b/>
          <w:bCs/>
          <w:i/>
          <w:iCs/>
          <w:szCs w:val="20"/>
          <w:lang w:val="en-US" w:eastAsia="zh-CN"/>
        </w:rPr>
        <w:t>1</w:t>
      </w:r>
      <w:r>
        <w:rPr>
          <w:rFonts w:hint="eastAsia" w:eastAsia="微软雅黑"/>
          <w:b/>
          <w:bCs/>
          <w:i/>
          <w:iCs/>
          <w:szCs w:val="20"/>
        </w:rPr>
        <w:t>:</w:t>
      </w:r>
      <w:r>
        <w:rPr>
          <w:rFonts w:eastAsia="微软雅黑"/>
          <w:i/>
          <w:iCs/>
          <w:szCs w:val="20"/>
        </w:rPr>
        <w:t xml:space="preserve"> </w:t>
      </w:r>
      <w:r>
        <w:rPr>
          <w:rFonts w:hint="eastAsia" w:eastAsia="微软雅黑"/>
          <w:i/>
          <w:iCs/>
          <w:szCs w:val="20"/>
        </w:rPr>
        <w:t xml:space="preserve">Serving cell and </w:t>
      </w:r>
      <w:r>
        <w:rPr>
          <w:rFonts w:eastAsia="微软雅黑"/>
          <w:i/>
          <w:iCs/>
          <w:szCs w:val="20"/>
        </w:rPr>
        <w:t>non-serving</w:t>
      </w:r>
      <w:r>
        <w:rPr>
          <w:rFonts w:hint="eastAsia" w:eastAsia="微软雅黑"/>
          <w:i/>
          <w:iCs/>
          <w:szCs w:val="20"/>
        </w:rPr>
        <w:t xml:space="preserve"> cell </w:t>
      </w:r>
      <w:r>
        <w:rPr>
          <w:rFonts w:eastAsia="微软雅黑"/>
          <w:i/>
          <w:iCs/>
          <w:szCs w:val="20"/>
        </w:rPr>
        <w:t xml:space="preserve">can correspond to the same </w:t>
      </w:r>
      <w:r>
        <w:rPr>
          <w:rFonts w:hint="eastAsia" w:eastAsia="微软雅黑"/>
          <w:i/>
          <w:iCs/>
          <w:szCs w:val="20"/>
        </w:rPr>
        <w:t xml:space="preserve">BWP </w:t>
      </w:r>
      <w:r>
        <w:rPr>
          <w:rFonts w:eastAsia="微软雅黑"/>
          <w:i/>
          <w:iCs/>
          <w:szCs w:val="20"/>
        </w:rPr>
        <w:t xml:space="preserve">but can be </w:t>
      </w:r>
      <w:r>
        <w:rPr>
          <w:rFonts w:hint="eastAsia" w:eastAsia="微软雅黑"/>
          <w:i/>
          <w:iCs/>
          <w:szCs w:val="20"/>
        </w:rPr>
        <w:t>associated with different TCI state groups</w:t>
      </w:r>
      <w:r>
        <w:rPr>
          <w:rFonts w:eastAsia="微软雅黑"/>
          <w:i/>
          <w:iCs/>
          <w:szCs w:val="20"/>
        </w:rPr>
        <w:t>,</w:t>
      </w:r>
      <w:r>
        <w:rPr>
          <w:rFonts w:hint="eastAsia" w:eastAsia="微软雅黑"/>
          <w:i/>
          <w:iCs/>
          <w:szCs w:val="20"/>
        </w:rPr>
        <w:t xml:space="preserve"> each of which </w:t>
      </w:r>
      <w:r>
        <w:rPr>
          <w:rFonts w:eastAsia="微软雅黑"/>
          <w:i/>
          <w:iCs/>
          <w:szCs w:val="20"/>
        </w:rPr>
        <w:t>can be</w:t>
      </w:r>
      <w:r>
        <w:rPr>
          <w:rFonts w:hint="eastAsia" w:eastAsia="微软雅黑"/>
          <w:i/>
          <w:iCs/>
          <w:szCs w:val="20"/>
        </w:rPr>
        <w:t xml:space="preserve"> associated with a</w:t>
      </w:r>
      <w:r>
        <w:rPr>
          <w:rFonts w:eastAsia="微软雅黑"/>
          <w:i/>
          <w:iCs/>
          <w:szCs w:val="20"/>
        </w:rPr>
        <w:t xml:space="preserve"> respective parameter </w:t>
      </w:r>
      <w:r>
        <w:rPr>
          <w:rFonts w:hint="eastAsia" w:eastAsia="微软雅黑"/>
          <w:i/>
          <w:iCs/>
          <w:szCs w:val="20"/>
        </w:rPr>
        <w:t>configuration</w:t>
      </w:r>
      <w:r>
        <w:rPr>
          <w:rFonts w:eastAsia="微软雅黑"/>
          <w:i/>
          <w:iCs/>
          <w:szCs w:val="20"/>
        </w:rPr>
        <w:t xml:space="preserve"> (e.g., </w:t>
      </w:r>
      <w:r>
        <w:rPr>
          <w:rFonts w:hint="eastAsia" w:eastAsia="微软雅黑"/>
          <w:i/>
          <w:iCs/>
          <w:szCs w:val="20"/>
        </w:rPr>
        <w:t>additionalPCIInfo</w:t>
      </w:r>
      <w:r>
        <w:rPr>
          <w:rFonts w:eastAsia="微软雅黑"/>
          <w:i/>
          <w:iCs/>
          <w:szCs w:val="20"/>
        </w:rPr>
        <w:t xml:space="preserve">) </w:t>
      </w:r>
      <w:r>
        <w:rPr>
          <w:rFonts w:hint="eastAsia" w:eastAsia="微软雅黑"/>
          <w:i/>
          <w:iCs/>
          <w:szCs w:val="20"/>
        </w:rPr>
        <w:t>including:</w:t>
      </w:r>
      <w:r>
        <w:rPr>
          <w:rFonts w:eastAsia="微软雅黑"/>
          <w:i/>
          <w:iCs/>
          <w:szCs w:val="20"/>
        </w:rPr>
        <w:t xml:space="preserve"> </w:t>
      </w:r>
      <w:r>
        <w:rPr>
          <w:rFonts w:hint="eastAsia" w:eastAsia="微软雅黑"/>
          <w:i/>
          <w:iCs/>
          <w:szCs w:val="20"/>
        </w:rPr>
        <w:t>PCI</w:t>
      </w:r>
      <w:r>
        <w:rPr>
          <w:rFonts w:eastAsia="微软雅黑"/>
          <w:i/>
          <w:iCs/>
          <w:szCs w:val="20"/>
        </w:rPr>
        <w:t>, SSB information</w:t>
      </w:r>
      <w:r>
        <w:rPr>
          <w:rFonts w:hint="eastAsia" w:eastAsia="微软雅黑"/>
          <w:i/>
          <w:iCs/>
          <w:szCs w:val="20"/>
        </w:rPr>
        <w:t>,</w:t>
      </w:r>
      <w:r>
        <w:rPr>
          <w:rFonts w:eastAsia="微软雅黑"/>
          <w:i/>
          <w:iCs/>
          <w:szCs w:val="20"/>
        </w:rPr>
        <w:t xml:space="preserve"> </w:t>
      </w:r>
      <w:r>
        <w:rPr>
          <w:rFonts w:hint="eastAsia" w:eastAsia="微软雅黑"/>
          <w:i/>
          <w:iCs/>
          <w:szCs w:val="20"/>
        </w:rPr>
        <w:t>RNTI, rate mat</w:t>
      </w:r>
      <w:r>
        <w:rPr>
          <w:rFonts w:eastAsia="微软雅黑"/>
          <w:i/>
          <w:iCs/>
          <w:szCs w:val="20"/>
        </w:rPr>
        <w:t>ch</w:t>
      </w:r>
      <w:r>
        <w:rPr>
          <w:rFonts w:hint="eastAsia" w:eastAsia="微软雅黑"/>
          <w:i/>
          <w:iCs/>
          <w:szCs w:val="20"/>
        </w:rPr>
        <w:t xml:space="preserve">ing, power control information </w:t>
      </w:r>
      <w:r>
        <w:rPr>
          <w:rFonts w:eastAsia="微软雅黑"/>
          <w:i/>
          <w:iCs/>
          <w:szCs w:val="20"/>
        </w:rPr>
        <w:t>.</w:t>
      </w:r>
    </w:p>
    <w:p>
      <w:pPr>
        <w:pStyle w:val="109"/>
        <w:numPr>
          <w:ilvl w:val="0"/>
          <w:numId w:val="15"/>
        </w:numPr>
        <w:snapToGrid w:val="0"/>
        <w:spacing w:before="60" w:beforeLines="25" w:after="60" w:afterLines="25" w:line="300" w:lineRule="auto"/>
        <w:ind w:left="400" w:firstLineChars="0"/>
        <w:jc w:val="both"/>
        <w:rPr>
          <w:rFonts w:eastAsia="微软雅黑"/>
          <w:i/>
          <w:szCs w:val="20"/>
        </w:rPr>
      </w:pPr>
      <w:r>
        <w:rPr>
          <w:rFonts w:eastAsia="微软雅黑"/>
          <w:i/>
          <w:szCs w:val="20"/>
        </w:rPr>
        <w:t>The parameter configuration is applied upon the corresponding TCI indication</w:t>
      </w:r>
      <w:r>
        <w:rPr>
          <w:rFonts w:hint="eastAsia" w:eastAsia="微软雅黑"/>
          <w:i/>
          <w:szCs w:val="20"/>
        </w:rPr>
        <w:t xml:space="preserve"> or CORESET pool </w:t>
      </w:r>
      <w:r>
        <w:rPr>
          <w:rFonts w:eastAsia="微软雅黑"/>
          <w:i/>
          <w:szCs w:val="20"/>
        </w:rPr>
        <w:t>index.</w:t>
      </w:r>
    </w:p>
    <w:p>
      <w:pPr>
        <w:pStyle w:val="109"/>
        <w:numPr>
          <w:ilvl w:val="0"/>
          <w:numId w:val="15"/>
        </w:numPr>
        <w:snapToGrid w:val="0"/>
        <w:spacing w:before="60" w:beforeLines="25" w:after="60" w:afterLines="25" w:line="300" w:lineRule="auto"/>
        <w:ind w:left="400" w:firstLineChars="0"/>
        <w:jc w:val="both"/>
        <w:rPr>
          <w:rFonts w:eastAsia="微软雅黑"/>
          <w:i/>
          <w:szCs w:val="20"/>
        </w:rPr>
      </w:pPr>
      <w:r>
        <w:rPr>
          <w:rFonts w:hint="eastAsia" w:eastAsia="微软雅黑"/>
          <w:i/>
          <w:szCs w:val="20"/>
        </w:rPr>
        <w:t xml:space="preserve">The association between configuration of cell and TCI state group (or CORESET pool index) can be done by MAC-CE. </w:t>
      </w:r>
    </w:p>
    <w:p>
      <w:pPr>
        <w:pStyle w:val="109"/>
        <w:numPr>
          <w:ilvl w:val="1"/>
          <w:numId w:val="15"/>
        </w:numPr>
        <w:snapToGrid w:val="0"/>
        <w:spacing w:before="60" w:beforeLines="25" w:after="60" w:afterLines="25" w:line="300" w:lineRule="auto"/>
        <w:ind w:left="800" w:firstLineChars="0"/>
        <w:jc w:val="both"/>
        <w:rPr>
          <w:rFonts w:eastAsia="微软雅黑"/>
          <w:i/>
          <w:szCs w:val="20"/>
        </w:rPr>
      </w:pPr>
      <w:r>
        <w:rPr>
          <w:rFonts w:eastAsia="宋体"/>
          <w:i/>
        </w:rPr>
        <w:t xml:space="preserve">Note: The TCI state group corresponds to </w:t>
      </w:r>
      <w:r>
        <w:rPr>
          <w:rFonts w:hint="eastAsia" w:eastAsia="宋体"/>
          <w:i/>
        </w:rPr>
        <w:t xml:space="preserve">configuration of  PCI of </w:t>
      </w:r>
      <w:r>
        <w:rPr>
          <w:rFonts w:eastAsia="宋体"/>
          <w:i/>
        </w:rPr>
        <w:t>serving cell, if the association is absent</w:t>
      </w:r>
    </w:p>
    <w:p>
      <w:pPr>
        <w:numPr>
          <w:ilvl w:val="2"/>
          <w:numId w:val="7"/>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eastAsia="宋体"/>
          <w:b/>
          <w:sz w:val="21"/>
          <w:szCs w:val="20"/>
        </w:rPr>
        <w:t>Default beam for non-UE dedicated channel</w:t>
      </w:r>
      <w:r>
        <w:rPr>
          <w:rFonts w:hint="eastAsia" w:eastAsia="宋体"/>
          <w:b/>
          <w:sz w:val="21"/>
          <w:szCs w:val="20"/>
        </w:rPr>
        <w:t xml:space="preserve"> </w:t>
      </w:r>
    </w:p>
    <w:p>
      <w:pPr>
        <w:snapToGrid w:val="0"/>
        <w:spacing w:before="60" w:beforeLines="25" w:after="120" w:afterLines="50" w:line="300" w:lineRule="auto"/>
        <w:jc w:val="both"/>
        <w:rPr>
          <w:rFonts w:eastAsia="宋体"/>
        </w:rPr>
      </w:pPr>
      <w:r>
        <w:rPr>
          <w:rFonts w:hint="eastAsia" w:eastAsia="宋体"/>
        </w:rPr>
        <w:t xml:space="preserve">In inter-cell </w:t>
      </w:r>
      <w:r>
        <w:rPr>
          <w:rFonts w:eastAsia="宋体"/>
        </w:rPr>
        <w:t xml:space="preserve">beam management, the non-UE dedicated channel and RS should be determined according to legacy beam determination (i.e., Rel-15/16). So, we need to review whether the default beam scheme (e.g., for PDSCH with scheduling offset less than a threshold) can be applied to the non-UE dedicated channel. </w:t>
      </w:r>
    </w:p>
    <w:p>
      <w:pPr>
        <w:pStyle w:val="111"/>
        <w:numPr>
          <w:ilvl w:val="0"/>
          <w:numId w:val="15"/>
        </w:numPr>
        <w:snapToGrid w:val="0"/>
        <w:spacing w:before="60" w:beforeLines="25" w:after="120" w:afterLines="50" w:line="300" w:lineRule="auto"/>
        <w:ind w:left="400" w:firstLineChars="0"/>
        <w:jc w:val="both"/>
        <w:rPr>
          <w:rFonts w:eastAsia="宋体"/>
        </w:rPr>
      </w:pPr>
      <w:r>
        <w:rPr>
          <w:rFonts w:eastAsia="宋体"/>
        </w:rPr>
        <w:t>After reviewing the current NW design, we believe that, nearly for all cases, the scheduling offset between non-UE dedicated PDCCH and non-UE dedicated PDSCH (e.g., for SIB, RACH, and Paging) is in a same slot or less than the beam-switching threshold reported by the UE. The non-UE dedicated PDSCH should be received or buffered according to the Rel-15/Rel-16 default beam scheme.</w:t>
      </w:r>
    </w:p>
    <w:p>
      <w:pPr>
        <w:pStyle w:val="111"/>
        <w:numPr>
          <w:ilvl w:val="0"/>
          <w:numId w:val="15"/>
        </w:numPr>
        <w:snapToGrid w:val="0"/>
        <w:spacing w:before="60" w:beforeLines="25" w:after="120" w:afterLines="50" w:line="300" w:lineRule="auto"/>
        <w:ind w:left="400" w:firstLineChars="0"/>
        <w:jc w:val="both"/>
        <w:rPr>
          <w:rFonts w:eastAsia="宋体"/>
        </w:rPr>
      </w:pPr>
      <w:r>
        <w:rPr>
          <w:rFonts w:eastAsia="宋体"/>
        </w:rPr>
        <w:t xml:space="preserve">Also, considering backward compatibility (for legacy Rel-15/Rel-16 UE), it is impossible for NW to refine the procedure for SIB/RACH/Paging procedure (e.g., to guarantee the scheduling offset larger than or equal to the threshold). </w:t>
      </w:r>
    </w:p>
    <w:p>
      <w:pPr>
        <w:snapToGrid w:val="0"/>
        <w:spacing w:before="60" w:beforeLines="25" w:after="120" w:afterLines="50" w:line="300" w:lineRule="auto"/>
        <w:jc w:val="both"/>
        <w:rPr>
          <w:rFonts w:eastAsia="宋体"/>
        </w:rPr>
      </w:pPr>
      <w:r>
        <w:rPr>
          <w:rFonts w:eastAsia="宋体"/>
        </w:rPr>
        <w:t>Therefore, we identify the necessity of further studying the co-existence between the Rel-15/Rel-16 default beam scheme for non-UE dedicated channel and the unified TCI framework for UE dedicated channel (e.g., for the case of more than one active TCI state). For instance, we need to clarify whether the UE need to simultaneously buffer the non-UE dedicated channel by Rel-15/16 default beam, and UE dedicated channel by indicated Rel-17 unified TCI, in the scenario of inter-cell beam management.</w:t>
      </w:r>
    </w:p>
    <w:p>
      <w:pPr>
        <w:numPr>
          <w:ilvl w:val="-1"/>
          <w:numId w:val="0"/>
        </w:numPr>
        <w:snapToGrid w:val="0"/>
        <w:spacing w:before="60" w:beforeLines="25" w:after="60" w:afterLines="25" w:line="300" w:lineRule="auto"/>
        <w:ind w:left="0" w:firstLine="0" w:firstLineChars="0"/>
        <w:jc w:val="both"/>
        <w:rPr>
          <w:rFonts w:eastAsia="微软雅黑"/>
          <w:i/>
          <w:szCs w:val="20"/>
        </w:rPr>
      </w:pPr>
      <w:r>
        <w:rPr>
          <w:rFonts w:hint="eastAsia" w:eastAsia="微软雅黑"/>
          <w:b/>
          <w:bCs/>
          <w:i/>
          <w:iCs/>
          <w:szCs w:val="20"/>
        </w:rPr>
        <w:t>Proposal 1</w:t>
      </w:r>
      <w:r>
        <w:rPr>
          <w:rFonts w:hint="eastAsia" w:eastAsia="微软雅黑"/>
          <w:b/>
          <w:bCs/>
          <w:i/>
          <w:iCs/>
          <w:szCs w:val="20"/>
          <w:lang w:val="en-US" w:eastAsia="zh-CN"/>
        </w:rPr>
        <w:t>2</w:t>
      </w:r>
      <w:r>
        <w:rPr>
          <w:rFonts w:hint="eastAsia" w:eastAsia="微软雅黑"/>
          <w:b/>
          <w:bCs/>
          <w:i/>
          <w:iCs/>
          <w:szCs w:val="20"/>
        </w:rPr>
        <w:t>:</w:t>
      </w:r>
      <w:r>
        <w:rPr>
          <w:rFonts w:eastAsia="微软雅黑"/>
          <w:i/>
          <w:iCs/>
          <w:szCs w:val="20"/>
        </w:rPr>
        <w:t xml:space="preserve"> Further study the co-existence between Rel-15/16 default beam determination scheme and Rel-17 unified TCI scheme in the inter-cell beam management.</w:t>
      </w:r>
      <w:r>
        <w:rPr>
          <w:rFonts w:eastAsia="宋体"/>
        </w:rPr>
        <w:t xml:space="preserve"> </w:t>
      </w:r>
    </w:p>
    <w:p>
      <w:pPr>
        <w:keepNext/>
        <w:widowControl w:val="0"/>
        <w:numPr>
          <w:ilvl w:val="0"/>
          <w:numId w:val="7"/>
        </w:numPr>
        <w:tabs>
          <w:tab w:val="left" w:pos="3686"/>
          <w:tab w:val="left" w:pos="4536"/>
        </w:tabs>
        <w:autoSpaceDE w:val="0"/>
        <w:autoSpaceDN w:val="0"/>
        <w:adjustRightIn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UL beam selection for UE with multiple panels</w:t>
      </w:r>
    </w:p>
    <w:p>
      <w:pPr>
        <w:overflowPunct w:val="0"/>
        <w:autoSpaceDE w:val="0"/>
        <w:autoSpaceDN w:val="0"/>
        <w:adjustRightInd w:val="0"/>
        <w:snapToGrid w:val="0"/>
        <w:spacing w:before="60" w:beforeLines="25" w:after="120" w:line="300" w:lineRule="auto"/>
        <w:jc w:val="both"/>
        <w:textAlignment w:val="baseline"/>
        <w:rPr>
          <w:rFonts w:eastAsia="宋体"/>
          <w:szCs w:val="20"/>
        </w:rPr>
      </w:pPr>
      <w:r>
        <w:rPr>
          <w:rFonts w:hint="eastAsia" w:eastAsia="宋体"/>
          <w:szCs w:val="20"/>
        </w:rPr>
        <w:t>In Rel-17, it should be enhanced to facilitate UL beam selection for UE</w:t>
      </w:r>
      <w:r>
        <w:rPr>
          <w:rFonts w:eastAsia="宋体"/>
          <w:szCs w:val="20"/>
        </w:rPr>
        <w:t>(</w:t>
      </w:r>
      <w:r>
        <w:rPr>
          <w:rFonts w:hint="eastAsia" w:eastAsia="宋体"/>
          <w:szCs w:val="20"/>
        </w:rPr>
        <w:t>s</w:t>
      </w:r>
      <w:r>
        <w:rPr>
          <w:rFonts w:eastAsia="宋体"/>
          <w:szCs w:val="20"/>
        </w:rPr>
        <w:t>)</w:t>
      </w:r>
      <w:r>
        <w:rPr>
          <w:rFonts w:hint="eastAsia" w:eastAsia="宋体"/>
          <w:szCs w:val="20"/>
        </w:rPr>
        <w:t xml:space="preserve"> equipped with multiple panels, considering UL coverage loss mitigation due to MPE, based on UL beam indication with the unified TCI framework for UL fast panel selection.</w:t>
      </w:r>
    </w:p>
    <w:p>
      <w:pPr>
        <w:keepNext/>
        <w:keepLines/>
        <w:widowControl w:val="0"/>
        <w:numPr>
          <w:ilvl w:val="1"/>
          <w:numId w:val="7"/>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Fast panel selection and antenna switching for UL transmission</w:t>
      </w:r>
    </w:p>
    <w:p>
      <w:pPr>
        <w:overflowPunct w:val="0"/>
        <w:autoSpaceDE w:val="0"/>
        <w:autoSpaceDN w:val="0"/>
        <w:adjustRightInd w:val="0"/>
        <w:snapToGrid w:val="0"/>
        <w:spacing w:before="60" w:beforeLines="25" w:after="120" w:line="300" w:lineRule="auto"/>
        <w:jc w:val="both"/>
        <w:textAlignment w:val="baseline"/>
        <w:rPr>
          <w:rFonts w:eastAsia="宋体"/>
          <w:b/>
          <w:bCs/>
          <w:kern w:val="2"/>
          <w:sz w:val="24"/>
          <w:szCs w:val="24"/>
        </w:rPr>
      </w:pPr>
      <w:r>
        <w:rPr>
          <w:rFonts w:hint="eastAsia" w:eastAsia="微软雅黑"/>
          <w:szCs w:val="20"/>
        </w:rPr>
        <w:t xml:space="preserve">It has been discussed for several meetings on this topic, and the latest progress was reached in RAN1#106e as follows.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1" w:hRule="atLeast"/>
        </w:trPr>
        <w:tc>
          <w:tcPr>
            <w:tcW w:w="9576" w:type="dxa"/>
          </w:tcPr>
          <w:p>
            <w:pPr>
              <w:snapToGrid w:val="0"/>
              <w:spacing w:after="0" w:line="240" w:lineRule="auto"/>
              <w:contextualSpacing/>
              <w:rPr>
                <w:rFonts w:cs="Times"/>
                <w:b/>
                <w:bCs/>
                <w:szCs w:val="20"/>
                <w:u w:val="single"/>
              </w:rPr>
            </w:pPr>
            <w:r>
              <w:rPr>
                <w:rFonts w:cs="Times"/>
                <w:b/>
                <w:bCs/>
                <w:szCs w:val="20"/>
                <w:u w:val="single"/>
              </w:rPr>
              <w:t>Agreement</w:t>
            </w:r>
          </w:p>
          <w:p>
            <w:pPr>
              <w:spacing w:after="0" w:line="240" w:lineRule="auto"/>
              <w:rPr>
                <w:rFonts w:ascii="Times" w:hAnsi="Times" w:eastAsia="宋体" w:cs="Times"/>
              </w:rPr>
            </w:pPr>
            <w:r>
              <w:rPr>
                <w:rFonts w:ascii="Times" w:hAnsi="Times" w:eastAsia="Batang" w:cs="Times"/>
                <w:lang w:val="en-GB"/>
              </w:rPr>
              <w:t xml:space="preserve">On Rel.17 enhancements to facilitate UE -initiated panel activation and selection, down select </w:t>
            </w:r>
            <w:r>
              <w:rPr>
                <w:rFonts w:eastAsia="Batang" w:cs="Times"/>
                <w:bCs/>
                <w:lang w:val="en-GB"/>
              </w:rPr>
              <w:t xml:space="preserve">or modify </w:t>
            </w:r>
            <w:r>
              <w:rPr>
                <w:rFonts w:ascii="Times" w:hAnsi="Times" w:eastAsia="Batang" w:cs="Times"/>
                <w:lang w:val="en-GB"/>
              </w:rPr>
              <w:t>from the following two schemes in RAN1#106bis-e:</w:t>
            </w:r>
          </w:p>
          <w:p>
            <w:pPr>
              <w:numPr>
                <w:ilvl w:val="0"/>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Scheme 1:</w:t>
            </w:r>
          </w:p>
          <w:p>
            <w:pPr>
              <w:numPr>
                <w:ilvl w:val="1"/>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A panel entity corresponds to a reported CSI-RS and/or SSB resource index in a beam reporting instance (i.e. Opt1-1 per RAN1#104-bis-e agreement)</w:t>
            </w:r>
          </w:p>
          <w:p>
            <w:pPr>
              <w:numPr>
                <w:ilvl w:val="2"/>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The correspondence between a panel entity and a reported CSI-RS and/or SSB resource index is informed to NW</w:t>
            </w:r>
          </w:p>
          <w:p>
            <w:pPr>
              <w:numPr>
                <w:ilvl w:val="3"/>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FFS : Detailed design of how to inform the correspondence to NW</w:t>
            </w:r>
          </w:p>
          <w:p>
            <w:pPr>
              <w:numPr>
                <w:ilvl w:val="2"/>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Note: the correspondence between a CSI-RS and/or SSB resource index and a panel entity is determined by the UE (analogous to Rel-15/16)</w:t>
            </w:r>
          </w:p>
          <w:p>
            <w:pPr>
              <w:numPr>
                <w:ilvl w:val="1"/>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 xml:space="preserve">Support UE reporting of maximum number of SRS ports </w:t>
            </w:r>
            <w:r>
              <w:rPr>
                <w:rFonts w:ascii="Times" w:hAnsi="Times" w:eastAsia="Times New Roman"/>
                <w:bCs/>
                <w:szCs w:val="24"/>
                <w:lang w:val="en-GB" w:eastAsia="en-US"/>
              </w:rPr>
              <w:t xml:space="preserve">and coherence type </w:t>
            </w:r>
            <w:r>
              <w:rPr>
                <w:rFonts w:ascii="Times" w:hAnsi="Times" w:eastAsia="Times New Roman" w:cs="Times"/>
                <w:lang w:val="en-GB" w:eastAsia="en-US"/>
              </w:rPr>
              <w:t>for each panel entity as a UE capability</w:t>
            </w:r>
          </w:p>
          <w:p>
            <w:pPr>
              <w:numPr>
                <w:ilvl w:val="1"/>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Support multiple codebook-based SRS resource sets with different maximum number of SRS ports</w:t>
            </w:r>
          </w:p>
          <w:p>
            <w:pPr>
              <w:numPr>
                <w:ilvl w:val="2"/>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The indicated SRI is based on the SRS resources corresponding to one SRS resource set, where the SRS resource set should be aligned with the UE capability for the panel entity</w:t>
            </w:r>
          </w:p>
          <w:p>
            <w:pPr>
              <w:numPr>
                <w:ilvl w:val="0"/>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Scheme 2:</w:t>
            </w:r>
          </w:p>
          <w:p>
            <w:pPr>
              <w:numPr>
                <w:ilvl w:val="1"/>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Support UE reporting one of the following (to be down selected in RAN1#106bis-e):</w:t>
            </w:r>
          </w:p>
          <w:p>
            <w:pPr>
              <w:numPr>
                <w:ilvl w:val="2"/>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Opt1. A list of supported UL ranks (number of UL transmission layers)</w:t>
            </w:r>
          </w:p>
          <w:p>
            <w:pPr>
              <w:numPr>
                <w:ilvl w:val="2"/>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Opt2. A list of supported number of SRS antenna ports</w:t>
            </w:r>
          </w:p>
          <w:p>
            <w:pPr>
              <w:numPr>
                <w:ilvl w:val="2"/>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Opt3. A list of coherence types (as in Rel-15) indicating a subset of ports</w:t>
            </w:r>
          </w:p>
          <w:p>
            <w:pPr>
              <w:numPr>
                <w:ilvl w:val="1"/>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 xml:space="preserve">The NW configures an association between </w:t>
            </w:r>
            <w:r>
              <w:rPr>
                <w:rFonts w:ascii="Times" w:hAnsi="Times" w:eastAsia="Times New Roman"/>
                <w:bCs/>
                <w:szCs w:val="24"/>
                <w:lang w:val="en-GB" w:eastAsia="en-US"/>
              </w:rPr>
              <w:t xml:space="preserve">an </w:t>
            </w:r>
            <w:r>
              <w:rPr>
                <w:rFonts w:ascii="Times" w:hAnsi="Times" w:eastAsia="Times New Roman"/>
                <w:bCs/>
                <w:strike/>
                <w:color w:val="FF0000"/>
                <w:szCs w:val="24"/>
                <w:lang w:val="en-GB" w:eastAsia="en-US"/>
              </w:rPr>
              <w:t xml:space="preserve">rank </w:t>
            </w:r>
            <w:r>
              <w:rPr>
                <w:rFonts w:ascii="Times" w:hAnsi="Times" w:eastAsia="Times New Roman" w:cs="Times"/>
                <w:lang w:val="en-GB" w:eastAsia="en-US"/>
              </w:rPr>
              <w:t>index and rank/number of SRS antenna ports/</w:t>
            </w:r>
            <w:r>
              <w:rPr>
                <w:rFonts w:ascii="Times" w:hAnsi="Times" w:eastAsia="Times New Roman"/>
                <w:bCs/>
                <w:szCs w:val="24"/>
                <w:lang w:val="en-GB" w:eastAsia="en-US"/>
              </w:rPr>
              <w:t>coherence type</w:t>
            </w:r>
          </w:p>
          <w:p>
            <w:pPr>
              <w:numPr>
                <w:ilvl w:val="1"/>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Include </w:t>
            </w:r>
            <w:r>
              <w:rPr>
                <w:rFonts w:ascii="Times" w:hAnsi="Times" w:eastAsia="Times New Roman"/>
                <w:bCs/>
                <w:szCs w:val="24"/>
                <w:lang w:val="en-GB" w:eastAsia="en-US"/>
              </w:rPr>
              <w:t xml:space="preserve">at least one of </w:t>
            </w:r>
            <w:r>
              <w:rPr>
                <w:rFonts w:ascii="Times" w:hAnsi="Times" w:eastAsia="Times New Roman" w:cs="Times"/>
                <w:lang w:val="en-GB" w:eastAsia="en-US"/>
              </w:rPr>
              <w:t xml:space="preserve">the index, the maximum UL rank </w:t>
            </w:r>
            <w:r>
              <w:rPr>
                <w:rFonts w:ascii="Times" w:hAnsi="Times" w:eastAsia="Times New Roman"/>
                <w:bCs/>
                <w:szCs w:val="24"/>
                <w:lang w:val="en-GB" w:eastAsia="en-US"/>
              </w:rPr>
              <w:t>or SRS antenna ports or coherence type</w:t>
            </w:r>
            <w:r>
              <w:rPr>
                <w:rFonts w:ascii="Times" w:hAnsi="Times" w:eastAsia="Times New Roman" w:cs="Times"/>
                <w:lang w:val="en-GB" w:eastAsia="en-US"/>
              </w:rPr>
              <w:t xml:space="preserve"> corresponding to a reported SSBRI/CRI in a beam reporting instance</w:t>
            </w:r>
          </w:p>
          <w:p>
            <w:pPr>
              <w:numPr>
                <w:ilvl w:val="2"/>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FFS : timeline to apply above result in the beam report instance</w:t>
            </w:r>
          </w:p>
          <w:p>
            <w:pPr>
              <w:numPr>
                <w:ilvl w:val="1"/>
                <w:numId w:val="19"/>
              </w:numPr>
              <w:spacing w:after="0" w:line="240" w:lineRule="auto"/>
              <w:rPr>
                <w:rFonts w:ascii="Times" w:hAnsi="Times" w:eastAsia="Times New Roman" w:cs="Times"/>
                <w:lang w:val="en-GB" w:eastAsia="en-US"/>
              </w:rPr>
            </w:pPr>
            <w:r>
              <w:rPr>
                <w:rFonts w:ascii="Times" w:hAnsi="Times" w:eastAsia="Times New Roman" w:cs="Times"/>
                <w:lang w:val="en-GB" w:eastAsia="en-US"/>
              </w:rPr>
              <w:t>Support multiple codebook-based SRS resource sets with different number of SRS antenna ports</w:t>
            </w:r>
          </w:p>
          <w:p>
            <w:pPr>
              <w:numPr>
                <w:ilvl w:val="2"/>
                <w:numId w:val="19"/>
              </w:numPr>
              <w:spacing w:after="0" w:line="240" w:lineRule="auto"/>
              <w:rPr>
                <w:rFonts w:eastAsia="宋体"/>
                <w:b/>
                <w:bCs/>
                <w:kern w:val="2"/>
                <w:sz w:val="24"/>
                <w:szCs w:val="24"/>
              </w:rPr>
            </w:pPr>
            <w:r>
              <w:rPr>
                <w:rFonts w:ascii="Times" w:hAnsi="Times" w:eastAsia="Times New Roman" w:cs="Times"/>
                <w:lang w:val="en-GB" w:eastAsia="en-US"/>
              </w:rPr>
              <w:t>The indicated SRI is based on the SRS resources corresponding to one SRS resource set, where the SRS resource set should be aligned with the UE reported info corresponding to the index</w:t>
            </w:r>
          </w:p>
        </w:tc>
      </w:tr>
    </w:tbl>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Both schemes in above agreement support UE reporting capabilities related to panel. Panel entity is explicitly considered/defined in scheme 1 which is clearer than scheme 2 logically</w:t>
      </w:r>
      <w:r>
        <w:rPr>
          <w:rFonts w:eastAsia="微软雅黑"/>
          <w:szCs w:val="20"/>
        </w:rPr>
        <w:t>, especially considering the same UE capability (e.g., same number of supported SRS antenna ports) for different panels. Therefore, we prefer to go with Option-1 as a starting point and meanwhile consider some detailed procedure as discussed in Scheme-2.</w:t>
      </w:r>
    </w:p>
    <w:p>
      <w:pPr>
        <w:pStyle w:val="111"/>
        <w:numPr>
          <w:ilvl w:val="0"/>
          <w:numId w:val="15"/>
        </w:numPr>
        <w:overflowPunct w:val="0"/>
        <w:autoSpaceDE w:val="0"/>
        <w:autoSpaceDN w:val="0"/>
        <w:adjustRightInd w:val="0"/>
        <w:snapToGrid w:val="0"/>
        <w:spacing w:before="60" w:beforeLines="25" w:after="120" w:afterLines="50" w:line="300" w:lineRule="auto"/>
        <w:ind w:left="400" w:firstLineChars="0"/>
        <w:jc w:val="both"/>
        <w:textAlignment w:val="baseline"/>
        <w:rPr>
          <w:rFonts w:eastAsia="微软雅黑"/>
          <w:szCs w:val="20"/>
        </w:rPr>
      </w:pPr>
      <w:r>
        <w:rPr>
          <w:rFonts w:eastAsia="微软雅黑"/>
          <w:szCs w:val="20"/>
        </w:rPr>
        <w:t xml:space="preserve">Regarding UE-initiated UL panel selection/activation, </w:t>
      </w:r>
      <w:r>
        <w:rPr>
          <w:szCs w:val="20"/>
        </w:rPr>
        <w:t xml:space="preserve">UE can also control the panel activation </w:t>
      </w:r>
      <w:r>
        <w:rPr>
          <w:szCs w:val="20"/>
          <w:lang w:val="en-GB"/>
        </w:rPr>
        <w:t>and</w:t>
      </w:r>
      <w:r>
        <w:rPr>
          <w:szCs w:val="20"/>
        </w:rPr>
        <w:t xml:space="preserve"> deactivation as a UE driven event, and, in order to guarantee panel indication </w:t>
      </w:r>
      <w:r>
        <w:rPr>
          <w:rFonts w:eastAsia="微软雅黑"/>
          <w:szCs w:val="20"/>
          <w:lang w:val="en-GB"/>
        </w:rPr>
        <w:t>for</w:t>
      </w:r>
      <w:r>
        <w:rPr>
          <w:szCs w:val="20"/>
        </w:rPr>
        <w:t xml:space="preserve"> UL transmission, the </w:t>
      </w:r>
      <w:r>
        <w:rPr>
          <w:rFonts w:eastAsia="宋体"/>
        </w:rPr>
        <w:t>state</w:t>
      </w:r>
      <w:r>
        <w:rPr>
          <w:szCs w:val="20"/>
        </w:rPr>
        <w:t xml:space="preserve"> of panel, e.g., active or inactive, to be used for DL/UL transmission should be reported through panel-specific </w:t>
      </w:r>
      <w:r>
        <w:rPr>
          <w:rFonts w:eastAsia="微软雅黑"/>
          <w:szCs w:val="20"/>
        </w:rPr>
        <w:t>reporting</w:t>
      </w:r>
      <w:r>
        <w:rPr>
          <w:szCs w:val="20"/>
        </w:rPr>
        <w:t xml:space="preserve"> to gNB side.</w:t>
      </w:r>
    </w:p>
    <w:p>
      <w:pPr>
        <w:pStyle w:val="111"/>
        <w:numPr>
          <w:ilvl w:val="1"/>
          <w:numId w:val="15"/>
        </w:numPr>
        <w:snapToGrid w:val="0"/>
        <w:spacing w:before="60" w:beforeLines="25" w:after="120" w:afterLines="50" w:line="300" w:lineRule="auto"/>
        <w:ind w:left="851" w:firstLineChars="0"/>
        <w:jc w:val="both"/>
        <w:rPr>
          <w:szCs w:val="20"/>
        </w:rPr>
      </w:pPr>
      <w:r>
        <w:rPr>
          <w:rFonts w:eastAsia="微软雅黑"/>
          <w:szCs w:val="20"/>
        </w:rPr>
        <w:t>UL</w:t>
      </w:r>
      <w:r>
        <w:rPr>
          <w:szCs w:val="20"/>
        </w:rPr>
        <w:t xml:space="preserve"> Tx panel(s) are assumed to be a same set or subset of DL Rx panel(s). Straightforwardly, a list of activated DL+UL and DL-only UE panel ID(s) can be reported by UE via group based reporting (i.e., panel-specific reporting as discussed in item 2-c), and the corresponding state of UE panel(s) can be reported together (e.g., a 1-bit flag to represent ‘DL+UL’ or ‘DL only’). One example for state switching for UE panel operation can be found in Figure </w:t>
      </w:r>
      <w:r>
        <w:rPr>
          <w:rFonts w:hint="eastAsia" w:eastAsia="宋体"/>
          <w:szCs w:val="20"/>
        </w:rPr>
        <w:t>2</w:t>
      </w:r>
      <w:r>
        <w:rPr>
          <w:szCs w:val="20"/>
        </w:rPr>
        <w:t>.</w:t>
      </w:r>
    </w:p>
    <w:p>
      <w:pPr>
        <w:pStyle w:val="111"/>
        <w:numPr>
          <w:ilvl w:val="0"/>
          <w:numId w:val="15"/>
        </w:numPr>
        <w:overflowPunct w:val="0"/>
        <w:autoSpaceDE w:val="0"/>
        <w:autoSpaceDN w:val="0"/>
        <w:adjustRightInd w:val="0"/>
        <w:snapToGrid w:val="0"/>
        <w:spacing w:before="60" w:beforeLines="25" w:after="120" w:afterLines="50" w:line="300" w:lineRule="auto"/>
        <w:ind w:left="400" w:firstLineChars="0"/>
        <w:jc w:val="both"/>
        <w:textAlignment w:val="baseline"/>
        <w:rPr>
          <w:rFonts w:eastAsia="微软雅黑"/>
          <w:szCs w:val="20"/>
        </w:rPr>
      </w:pPr>
      <w:r>
        <w:rPr>
          <w:rFonts w:eastAsia="微软雅黑"/>
          <w:szCs w:val="20"/>
        </w:rPr>
        <w:t>Then, in order to dynamically report the panel related UL transmission capabilities, s</w:t>
      </w:r>
      <w:r>
        <w:rPr>
          <w:rFonts w:hint="eastAsia" w:eastAsia="微软雅黑"/>
          <w:szCs w:val="20"/>
        </w:rPr>
        <w:t>uch as maximum number of SRS ports, number of UL transmission layers, per panel entity,</w:t>
      </w:r>
      <w:r>
        <w:rPr>
          <w:rFonts w:eastAsia="微软雅黑"/>
          <w:szCs w:val="20"/>
        </w:rPr>
        <w:t xml:space="preserve"> </w:t>
      </w:r>
      <w:r>
        <w:rPr>
          <w:rFonts w:hint="eastAsia" w:eastAsia="微软雅黑"/>
          <w:szCs w:val="20"/>
        </w:rPr>
        <w:t>t</w:t>
      </w:r>
      <w:r>
        <w:rPr>
          <w:rFonts w:eastAsia="微软雅黑"/>
          <w:szCs w:val="20"/>
        </w:rPr>
        <w:t>he</w:t>
      </w:r>
      <w:r>
        <w:rPr>
          <w:rFonts w:hint="eastAsia" w:eastAsia="微软雅黑"/>
          <w:szCs w:val="20"/>
        </w:rPr>
        <w:t xml:space="preserve"> </w:t>
      </w:r>
      <w:r>
        <w:rPr>
          <w:rFonts w:eastAsia="微软雅黑"/>
          <w:szCs w:val="20"/>
        </w:rPr>
        <w:t xml:space="preserve">NW </w:t>
      </w:r>
      <w:r>
        <w:rPr>
          <w:rFonts w:hint="eastAsia" w:eastAsia="微软雅黑"/>
          <w:szCs w:val="20"/>
        </w:rPr>
        <w:t xml:space="preserve">may confirm/configure a </w:t>
      </w:r>
      <w:r>
        <w:rPr>
          <w:rFonts w:eastAsia="微软雅黑"/>
          <w:szCs w:val="20"/>
        </w:rPr>
        <w:t xml:space="preserve">list </w:t>
      </w:r>
      <w:r>
        <w:rPr>
          <w:rFonts w:hint="eastAsia" w:eastAsia="微软雅黑"/>
          <w:szCs w:val="20"/>
        </w:rPr>
        <w:t>of panel related capabilities UE reported explicitly</w:t>
      </w:r>
      <w:r>
        <w:rPr>
          <w:rFonts w:eastAsia="微软雅黑"/>
          <w:szCs w:val="20"/>
        </w:rPr>
        <w:t>, which can be called as transmission mode(s), as a response</w:t>
      </w:r>
      <w:r>
        <w:rPr>
          <w:rFonts w:hint="eastAsia" w:eastAsia="微软雅黑"/>
          <w:szCs w:val="20"/>
        </w:rPr>
        <w:t xml:space="preserve">. </w:t>
      </w:r>
    </w:p>
    <w:p>
      <w:pPr>
        <w:pStyle w:val="111"/>
        <w:numPr>
          <w:ilvl w:val="1"/>
          <w:numId w:val="15"/>
        </w:numPr>
        <w:overflowPunct w:val="0"/>
        <w:autoSpaceDE w:val="0"/>
        <w:autoSpaceDN w:val="0"/>
        <w:adjustRightInd w:val="0"/>
        <w:snapToGrid w:val="0"/>
        <w:spacing w:before="60" w:beforeLines="25" w:after="120" w:afterLines="50" w:line="300" w:lineRule="auto"/>
        <w:ind w:left="851" w:firstLineChars="0"/>
        <w:jc w:val="both"/>
        <w:textAlignment w:val="baseline"/>
        <w:rPr>
          <w:rFonts w:eastAsia="微软雅黑"/>
          <w:szCs w:val="20"/>
        </w:rPr>
      </w:pPr>
      <w:r>
        <w:rPr>
          <w:rFonts w:eastAsia="微软雅黑"/>
          <w:szCs w:val="20"/>
        </w:rPr>
        <w:t>The NW configures an association between transmission mode indexes and the panel entity index or rank/number of SRS antenna ports, and then based on the legacy beam reporting or MAC-CE, UE can report the respective transmission mode indexes corresponding to each of reported SSBRI/CRI.</w:t>
      </w:r>
    </w:p>
    <w:p>
      <w:pPr>
        <w:pStyle w:val="111"/>
        <w:numPr>
          <w:ilvl w:val="1"/>
          <w:numId w:val="15"/>
        </w:numPr>
        <w:overflowPunct w:val="0"/>
        <w:autoSpaceDE w:val="0"/>
        <w:autoSpaceDN w:val="0"/>
        <w:adjustRightInd w:val="0"/>
        <w:snapToGrid w:val="0"/>
        <w:spacing w:before="60" w:beforeLines="25" w:after="120" w:afterLines="50" w:line="300" w:lineRule="auto"/>
        <w:ind w:left="851" w:firstLineChars="0"/>
        <w:jc w:val="both"/>
        <w:textAlignment w:val="baseline"/>
        <w:rPr>
          <w:rFonts w:eastAsia="微软雅黑"/>
          <w:szCs w:val="20"/>
        </w:rPr>
      </w:pPr>
      <w:r>
        <w:rPr>
          <w:rFonts w:eastAsia="微软雅黑"/>
          <w:szCs w:val="20"/>
        </w:rPr>
        <w:t>In order to guarantee the reliability of MPUE operation, the gNB response for the above report is necessary. For instance, the above results in beam report or MAC-CE are applied X symbols after receiving gNB acknowledge for the report.</w:t>
      </w:r>
    </w:p>
    <w:p>
      <w:pPr>
        <w:pStyle w:val="111"/>
        <w:numPr>
          <w:ilvl w:val="0"/>
          <w:numId w:val="15"/>
        </w:numPr>
        <w:overflowPunct w:val="0"/>
        <w:autoSpaceDE w:val="0"/>
        <w:autoSpaceDN w:val="0"/>
        <w:adjustRightInd w:val="0"/>
        <w:snapToGrid w:val="0"/>
        <w:spacing w:before="60" w:beforeLines="25" w:after="120" w:afterLines="50" w:line="300" w:lineRule="auto"/>
        <w:ind w:left="400" w:firstLineChars="0"/>
        <w:jc w:val="both"/>
        <w:textAlignment w:val="baseline"/>
        <w:rPr>
          <w:rFonts w:eastAsia="微软雅黑"/>
          <w:szCs w:val="20"/>
        </w:rPr>
      </w:pPr>
      <w:r>
        <w:rPr>
          <w:rFonts w:eastAsia="微软雅黑"/>
          <w:szCs w:val="20"/>
        </w:rPr>
        <w:t>Besides, the consideration of dynamical TRP switching for different SRS resource sets has been taken on for Rel-17 mTRP-PUSCH transmission, and then the corresponding DCI signaling enhancement can be reused directly.</w:t>
      </w:r>
      <w:r>
        <w:rPr>
          <w:rFonts w:hint="eastAsia" w:eastAsia="微软雅黑"/>
          <w:szCs w:val="20"/>
        </w:rPr>
        <w:t xml:space="preserve"> </w:t>
      </w:r>
    </w:p>
    <w:p>
      <w:pPr>
        <w:pStyle w:val="111"/>
        <w:snapToGrid w:val="0"/>
        <w:spacing w:before="120" w:after="120" w:afterLines="50" w:line="300" w:lineRule="auto"/>
        <w:ind w:left="780" w:firstLine="0" w:firstLineChars="0"/>
        <w:jc w:val="center"/>
      </w:pPr>
      <w:r>
        <w:object>
          <v:shape id="_x0000_i1027" o:spt="75" type="#_x0000_t75" style="height:210.1pt;width:306.2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p>
    <w:p>
      <w:pPr>
        <w:numPr>
          <w:ilvl w:val="255"/>
          <w:numId w:val="0"/>
        </w:numPr>
        <w:overflowPunct w:val="0"/>
        <w:autoSpaceDE w:val="0"/>
        <w:autoSpaceDN w:val="0"/>
        <w:adjustRightInd w:val="0"/>
        <w:snapToGrid w:val="0"/>
        <w:spacing w:before="60" w:beforeLines="25" w:after="120" w:line="300" w:lineRule="auto"/>
        <w:jc w:val="center"/>
        <w:textAlignment w:val="baseline"/>
        <w:rPr>
          <w:rFonts w:eastAsia="宋体"/>
          <w:color w:val="0000FF"/>
        </w:rPr>
      </w:pPr>
      <w:r>
        <w:rPr>
          <w:rFonts w:hint="eastAsia"/>
          <w:b/>
          <w:szCs w:val="20"/>
        </w:rPr>
        <w:t>Fig</w:t>
      </w:r>
      <w:r>
        <w:rPr>
          <w:b/>
          <w:szCs w:val="20"/>
        </w:rPr>
        <w:t xml:space="preserve">ure </w:t>
      </w:r>
      <w:r>
        <w:rPr>
          <w:rFonts w:hint="eastAsia" w:eastAsia="宋体"/>
          <w:b/>
          <w:szCs w:val="20"/>
        </w:rPr>
        <w:t>2</w:t>
      </w:r>
      <w:r>
        <w:rPr>
          <w:rFonts w:hint="eastAsia"/>
          <w:szCs w:val="20"/>
        </w:rPr>
        <w:t xml:space="preserve"> </w:t>
      </w:r>
      <w:r>
        <w:rPr>
          <w:szCs w:val="20"/>
        </w:rPr>
        <w:t>State switching for UE panel operation</w:t>
      </w:r>
    </w:p>
    <w:p>
      <w:pPr>
        <w:snapToGrid w:val="0"/>
        <w:spacing w:before="60" w:beforeLines="25" w:after="120" w:afterLines="50" w:line="300" w:lineRule="auto"/>
        <w:jc w:val="both"/>
        <w:rPr>
          <w:rFonts w:eastAsia="微软雅黑"/>
          <w:szCs w:val="20"/>
        </w:rPr>
      </w:pPr>
      <w:r>
        <w:rPr>
          <w:rFonts w:eastAsia="微软雅黑"/>
          <w:szCs w:val="20"/>
        </w:rPr>
        <w:t>Hence we have the following proposal for merging Scheme-1 and Scheme-2</w:t>
      </w:r>
      <w:r>
        <w:rPr>
          <w:rFonts w:hint="eastAsia" w:eastAsia="微软雅黑"/>
          <w:szCs w:val="20"/>
        </w:rPr>
        <w:t>.</w:t>
      </w:r>
    </w:p>
    <w:p>
      <w:pPr>
        <w:snapToGrid w:val="0"/>
        <w:spacing w:before="60" w:beforeLines="25" w:after="60" w:afterLines="25" w:line="300" w:lineRule="auto"/>
        <w:jc w:val="both"/>
        <w:rPr>
          <w:rFonts w:eastAsia="微软雅黑"/>
          <w:b/>
          <w:i/>
          <w:szCs w:val="20"/>
        </w:rPr>
      </w:pPr>
      <w:r>
        <w:rPr>
          <w:rFonts w:eastAsia="微软雅黑"/>
          <w:b/>
          <w:i/>
          <w:szCs w:val="20"/>
        </w:rPr>
        <w:t>Proposal 1</w:t>
      </w:r>
      <w:r>
        <w:rPr>
          <w:rFonts w:hint="eastAsia" w:eastAsia="微软雅黑"/>
          <w:b/>
          <w:i/>
          <w:szCs w:val="20"/>
          <w:lang w:val="en-US" w:eastAsia="zh-CN"/>
        </w:rPr>
        <w:t>3</w:t>
      </w:r>
      <w:r>
        <w:rPr>
          <w:rFonts w:eastAsia="微软雅黑"/>
          <w:b/>
          <w:i/>
          <w:szCs w:val="20"/>
        </w:rPr>
        <w:t>:</w:t>
      </w:r>
      <w:r>
        <w:rPr>
          <w:rFonts w:hint="eastAsia" w:eastAsia="微软雅黑"/>
          <w:b/>
          <w:i/>
          <w:szCs w:val="20"/>
        </w:rPr>
        <w:t xml:space="preserve"> </w:t>
      </w:r>
      <w:r>
        <w:rPr>
          <w:rFonts w:eastAsia="微软雅黑"/>
          <w:i/>
          <w:szCs w:val="20"/>
        </w:rPr>
        <w:t>On Rel</w:t>
      </w:r>
      <w:r>
        <w:rPr>
          <w:rFonts w:hint="eastAsia" w:eastAsia="微软雅黑"/>
          <w:i/>
          <w:szCs w:val="20"/>
        </w:rPr>
        <w:t>-</w:t>
      </w:r>
      <w:r>
        <w:rPr>
          <w:rFonts w:eastAsia="微软雅黑"/>
          <w:i/>
          <w:szCs w:val="20"/>
        </w:rPr>
        <w:t>17 enhancements to facilitate UE-initiated panel activation and selection</w:t>
      </w:r>
      <w:r>
        <w:rPr>
          <w:rFonts w:hint="eastAsia" w:eastAsia="微软雅黑"/>
          <w:i/>
          <w:szCs w:val="20"/>
        </w:rPr>
        <w:t>,</w:t>
      </w:r>
      <w:r>
        <w:rPr>
          <w:rFonts w:eastAsia="微软雅黑"/>
          <w:b/>
          <w:i/>
          <w:szCs w:val="20"/>
        </w:rPr>
        <w:t xml:space="preserve"> </w:t>
      </w:r>
    </w:p>
    <w:p>
      <w:pPr>
        <w:pStyle w:val="109"/>
        <w:numPr>
          <w:ilvl w:val="0"/>
          <w:numId w:val="15"/>
        </w:numPr>
        <w:snapToGrid w:val="0"/>
        <w:spacing w:before="60" w:beforeLines="25" w:after="60" w:afterLines="25" w:line="300" w:lineRule="auto"/>
        <w:ind w:left="400" w:firstLineChars="0"/>
        <w:jc w:val="both"/>
        <w:rPr>
          <w:rFonts w:eastAsia="微软雅黑"/>
          <w:i/>
          <w:szCs w:val="20"/>
        </w:rPr>
      </w:pPr>
      <w:r>
        <w:rPr>
          <w:rFonts w:eastAsia="微软雅黑"/>
          <w:i/>
          <w:szCs w:val="20"/>
        </w:rPr>
        <w:t>Support UE reporting of the supported number of UE panel entities, and supported UL ranks (number of UL transmission layers) and supported number of SRS antenna ports per UE panel entity, as a UE capability.</w:t>
      </w:r>
    </w:p>
    <w:p>
      <w:pPr>
        <w:pStyle w:val="109"/>
        <w:numPr>
          <w:ilvl w:val="0"/>
          <w:numId w:val="15"/>
        </w:numPr>
        <w:snapToGrid w:val="0"/>
        <w:spacing w:before="60" w:beforeLines="25" w:after="60" w:afterLines="25" w:line="300" w:lineRule="auto"/>
        <w:ind w:left="400" w:firstLineChars="0"/>
        <w:jc w:val="both"/>
        <w:rPr>
          <w:rFonts w:eastAsia="微软雅黑"/>
          <w:i/>
          <w:szCs w:val="20"/>
        </w:rPr>
      </w:pPr>
      <w:r>
        <w:rPr>
          <w:rFonts w:eastAsia="微软雅黑"/>
          <w:i/>
          <w:szCs w:val="20"/>
        </w:rPr>
        <w:t>NW can configure respective transmission mode indexes to be associated with different UE panel entities, or different combination of the number of UL ranks and number of SRS antenna ports based on above UE capability report.</w:t>
      </w:r>
    </w:p>
    <w:p>
      <w:pPr>
        <w:pStyle w:val="109"/>
        <w:numPr>
          <w:ilvl w:val="0"/>
          <w:numId w:val="15"/>
        </w:numPr>
        <w:snapToGrid w:val="0"/>
        <w:spacing w:before="60" w:beforeLines="25" w:after="60" w:afterLines="25" w:line="300" w:lineRule="auto"/>
        <w:ind w:left="400" w:firstLineChars="0"/>
        <w:jc w:val="both"/>
        <w:rPr>
          <w:rFonts w:eastAsia="微软雅黑"/>
          <w:i/>
          <w:szCs w:val="20"/>
        </w:rPr>
      </w:pPr>
      <w:r>
        <w:rPr>
          <w:rFonts w:eastAsia="微软雅黑"/>
          <w:i/>
          <w:szCs w:val="20"/>
        </w:rPr>
        <w:t>In the report instance, the UE reports SSBRI/CRI and the corresponding transmission mode index</w:t>
      </w:r>
    </w:p>
    <w:p>
      <w:pPr>
        <w:pStyle w:val="111"/>
        <w:numPr>
          <w:ilvl w:val="1"/>
          <w:numId w:val="15"/>
        </w:numPr>
        <w:snapToGrid w:val="0"/>
        <w:spacing w:before="60" w:beforeLines="25" w:after="120" w:afterLines="50" w:line="300" w:lineRule="auto"/>
        <w:ind w:left="851" w:hanging="360" w:firstLineChars="0"/>
        <w:jc w:val="both"/>
        <w:rPr>
          <w:rFonts w:eastAsia="微软雅黑"/>
          <w:i/>
          <w:szCs w:val="20"/>
        </w:rPr>
      </w:pPr>
      <w:r>
        <w:rPr>
          <w:rFonts w:eastAsia="微软雅黑"/>
          <w:i/>
          <w:szCs w:val="20"/>
        </w:rPr>
        <w:t>The above results in beam report or MAC-CE are applied X symbols after receiving gNB acknowledge for the report.</w:t>
      </w:r>
    </w:p>
    <w:p>
      <w:pPr>
        <w:pStyle w:val="111"/>
        <w:numPr>
          <w:ilvl w:val="1"/>
          <w:numId w:val="15"/>
        </w:numPr>
        <w:snapToGrid w:val="0"/>
        <w:spacing w:before="60" w:beforeLines="25" w:after="120" w:afterLines="50" w:line="300" w:lineRule="auto"/>
        <w:ind w:left="851" w:hanging="360" w:firstLineChars="0"/>
        <w:jc w:val="both"/>
        <w:rPr>
          <w:rFonts w:eastAsia="微软雅黑"/>
          <w:i/>
          <w:szCs w:val="20"/>
        </w:rPr>
      </w:pPr>
      <w:r>
        <w:rPr>
          <w:rFonts w:eastAsia="微软雅黑"/>
          <w:i/>
          <w:szCs w:val="20"/>
        </w:rPr>
        <w:t>FFS: Report format, e.g., beam report or MAC-CE, and mechanism of gNB acknowledge.</w:t>
      </w:r>
    </w:p>
    <w:p>
      <w:pPr>
        <w:pStyle w:val="109"/>
        <w:numPr>
          <w:ilvl w:val="0"/>
          <w:numId w:val="15"/>
        </w:numPr>
        <w:snapToGrid w:val="0"/>
        <w:spacing w:before="60" w:beforeLines="25" w:after="60" w:afterLines="25" w:line="300" w:lineRule="auto"/>
        <w:ind w:left="400" w:hanging="420" w:firstLineChars="0"/>
        <w:jc w:val="both"/>
        <w:rPr>
          <w:rFonts w:ascii="Times" w:hAnsi="Times" w:eastAsia="Times New Roman" w:cs="Times"/>
          <w:i/>
          <w:lang w:val="en-GB" w:eastAsia="en-US"/>
        </w:rPr>
      </w:pPr>
      <w:r>
        <w:rPr>
          <w:rFonts w:ascii="Times" w:hAnsi="Times" w:eastAsia="Times New Roman" w:cs="Times"/>
          <w:i/>
          <w:lang w:val="en-GB" w:eastAsia="en-US"/>
        </w:rPr>
        <w:t xml:space="preserve">Support </w:t>
      </w:r>
      <w:r>
        <w:rPr>
          <w:rFonts w:ascii="Times" w:hAnsi="Times" w:eastAsia="微软雅黑" w:cs="Times"/>
          <w:i/>
          <w:szCs w:val="20"/>
          <w:lang w:val="en-GB" w:eastAsia="en-US"/>
        </w:rPr>
        <w:t>multiple</w:t>
      </w:r>
      <w:r>
        <w:rPr>
          <w:rFonts w:ascii="Times" w:hAnsi="Times" w:eastAsia="Times New Roman" w:cs="Times"/>
          <w:i/>
          <w:lang w:val="en-GB" w:eastAsia="en-US"/>
        </w:rPr>
        <w:t xml:space="preserve"> codebook-based SRS resource sets with different number of SRS antenna ports</w:t>
      </w:r>
    </w:p>
    <w:p>
      <w:pPr>
        <w:pStyle w:val="111"/>
        <w:numPr>
          <w:ilvl w:val="1"/>
          <w:numId w:val="15"/>
        </w:numPr>
        <w:snapToGrid w:val="0"/>
        <w:spacing w:before="60" w:beforeLines="25" w:after="120" w:afterLines="50" w:line="300" w:lineRule="auto"/>
        <w:ind w:left="851" w:hanging="360" w:firstLineChars="0"/>
        <w:jc w:val="both"/>
      </w:pPr>
      <w:r>
        <w:rPr>
          <w:rFonts w:ascii="Times" w:hAnsi="Times" w:eastAsia="Times New Roman" w:cs="Times"/>
          <w:i/>
          <w:lang w:val="en-GB" w:eastAsia="en-US"/>
        </w:rPr>
        <w:t xml:space="preserve">The indicated </w:t>
      </w:r>
      <w:r>
        <w:rPr>
          <w:rFonts w:ascii="Times" w:hAnsi="Times" w:eastAsia="微软雅黑" w:cs="Times"/>
          <w:i/>
          <w:szCs w:val="20"/>
          <w:lang w:val="en-GB" w:eastAsia="en-US"/>
        </w:rPr>
        <w:t>SRI</w:t>
      </w:r>
      <w:r>
        <w:rPr>
          <w:rFonts w:ascii="Times" w:hAnsi="Times" w:eastAsia="Times New Roman" w:cs="Times"/>
          <w:i/>
          <w:lang w:val="en-GB" w:eastAsia="en-US"/>
        </w:rPr>
        <w:t xml:space="preserve"> is based on the SRS resources corresponding to one SRS resource set, where the SRS resource set should be aligned with the UE reported info corresponding to the transmission mode index</w:t>
      </w:r>
    </w:p>
    <w:p>
      <w:pPr>
        <w:keepNext/>
        <w:keepLines/>
        <w:widowControl w:val="0"/>
        <w:numPr>
          <w:ilvl w:val="1"/>
          <w:numId w:val="7"/>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FR2 MPE mitigation</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I</w:t>
      </w:r>
      <w:r>
        <w:rPr>
          <w:rFonts w:eastAsia="微软雅黑"/>
          <w:szCs w:val="20"/>
        </w:rPr>
        <w:t>n RAN1#10</w:t>
      </w:r>
      <w:r>
        <w:rPr>
          <w:rFonts w:hint="eastAsia" w:eastAsia="微软雅黑"/>
          <w:szCs w:val="20"/>
        </w:rPr>
        <w:t>6b</w:t>
      </w:r>
      <w:r>
        <w:rPr>
          <w:rFonts w:eastAsia="微软雅黑"/>
          <w:szCs w:val="20"/>
        </w:rPr>
        <w:t>-e meeting, the following agreement</w:t>
      </w:r>
      <w:r>
        <w:rPr>
          <w:rFonts w:hint="eastAsia" w:eastAsia="微软雅黑"/>
          <w:szCs w:val="20"/>
        </w:rPr>
        <w:t>s</w:t>
      </w:r>
      <w:r>
        <w:rPr>
          <w:rFonts w:eastAsia="微软雅黑"/>
          <w:szCs w:val="20"/>
        </w:rPr>
        <w:t xml:space="preserve"> w</w:t>
      </w:r>
      <w:r>
        <w:rPr>
          <w:rFonts w:hint="eastAsia" w:eastAsia="微软雅黑"/>
          <w:szCs w:val="20"/>
        </w:rPr>
        <w:t>ere</w:t>
      </w:r>
      <w:r>
        <w:rPr>
          <w:rFonts w:eastAsia="微软雅黑"/>
          <w:szCs w:val="20"/>
        </w:rPr>
        <w:t xml:space="preserve"> reached for FR2 MPE mitigation. In this subsection, we discuss the potential enhancement on FR2 MPE mitigation.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jc w:val="both"/>
              <w:rPr>
                <w:rFonts w:ascii="Times" w:hAnsi="Times" w:eastAsia="Batang"/>
                <w:b/>
                <w:szCs w:val="24"/>
                <w:lang w:val="en-GB" w:eastAsia="en-US"/>
              </w:rPr>
            </w:pPr>
            <w:r>
              <w:rPr>
                <w:rFonts w:ascii="Times" w:hAnsi="Times" w:eastAsia="Batang"/>
                <w:b/>
                <w:szCs w:val="24"/>
                <w:lang w:val="en-GB" w:eastAsia="en-US"/>
              </w:rPr>
              <w:t>Agreement</w:t>
            </w:r>
          </w:p>
          <w:p>
            <w:pPr>
              <w:snapToGrid w:val="0"/>
              <w:spacing w:after="0" w:line="240" w:lineRule="auto"/>
              <w:jc w:val="both"/>
              <w:rPr>
                <w:rFonts w:ascii="Times" w:hAnsi="Times" w:eastAsia="Batang" w:cs="Times"/>
                <w:szCs w:val="24"/>
                <w:lang w:val="en-GB"/>
              </w:rPr>
            </w:pPr>
            <w:r>
              <w:rPr>
                <w:rFonts w:ascii="Times" w:hAnsi="Times" w:eastAsia="Batang" w:cs="Times"/>
                <w:szCs w:val="24"/>
                <w:lang w:val="en-GB"/>
              </w:rPr>
              <w:t>On Rel.17 enhancements to facilitate MPE mitigation, support N=1, 2, 3, and 4</w:t>
            </w:r>
          </w:p>
          <w:p>
            <w:pPr>
              <w:numPr>
                <w:ilvl w:val="0"/>
                <w:numId w:val="20"/>
              </w:numPr>
              <w:snapToGrid w:val="0"/>
              <w:spacing w:after="0" w:line="240" w:lineRule="auto"/>
              <w:jc w:val="both"/>
              <w:rPr>
                <w:rFonts w:ascii="Times" w:hAnsi="Times" w:eastAsia="Times New Roman" w:cs="Times"/>
                <w:szCs w:val="24"/>
                <w:lang w:val="en-GB"/>
              </w:rPr>
            </w:pPr>
            <w:r>
              <w:rPr>
                <w:rFonts w:ascii="Times" w:hAnsi="Times" w:eastAsia="Times New Roman" w:cs="Times"/>
                <w:szCs w:val="24"/>
                <w:lang w:val="en-GB"/>
              </w:rPr>
              <w:t>N is defined as the number of reported measurements</w:t>
            </w:r>
          </w:p>
          <w:p>
            <w:pPr>
              <w:numPr>
                <w:ilvl w:val="0"/>
                <w:numId w:val="20"/>
              </w:numPr>
              <w:snapToGrid w:val="0"/>
              <w:spacing w:after="0" w:line="240" w:lineRule="auto"/>
              <w:jc w:val="both"/>
              <w:rPr>
                <w:rFonts w:eastAsia="微软雅黑"/>
                <w:szCs w:val="20"/>
              </w:rPr>
            </w:pPr>
            <w:r>
              <w:rPr>
                <w:rFonts w:ascii="Times" w:hAnsi="Times" w:eastAsia="Times New Roman" w:cs="Times"/>
                <w:szCs w:val="24"/>
                <w:lang w:val="en-GB"/>
              </w:rPr>
              <w:t>UE reports supported largest N value as a UE capability</w:t>
            </w:r>
          </w:p>
          <w:p>
            <w:pPr>
              <w:snapToGrid w:val="0"/>
              <w:spacing w:after="0" w:line="240" w:lineRule="auto"/>
              <w:jc w:val="both"/>
              <w:rPr>
                <w:rFonts w:ascii="Times" w:hAnsi="Times" w:eastAsia="Times New Roman" w:cs="Times"/>
                <w:szCs w:val="24"/>
                <w:lang w:val="en-GB"/>
              </w:rPr>
            </w:pPr>
          </w:p>
          <w:p>
            <w:pPr>
              <w:snapToGrid w:val="0"/>
              <w:spacing w:after="0" w:line="240" w:lineRule="auto"/>
              <w:rPr>
                <w:rFonts w:ascii="Times" w:hAnsi="Times" w:eastAsia="Batang"/>
                <w:szCs w:val="20"/>
                <w:lang w:val="en-GB" w:eastAsia="en-US"/>
              </w:rPr>
            </w:pPr>
            <w:r>
              <w:rPr>
                <w:rFonts w:ascii="Times" w:hAnsi="Times" w:eastAsia="Batang"/>
                <w:b/>
                <w:szCs w:val="20"/>
                <w:lang w:val="en-GB" w:eastAsia="en-US"/>
              </w:rPr>
              <w:t>Agreement</w:t>
            </w:r>
          </w:p>
          <w:p>
            <w:pPr>
              <w:snapToGrid w:val="0"/>
              <w:spacing w:after="0" w:line="240" w:lineRule="auto"/>
              <w:rPr>
                <w:rFonts w:ascii="Calibri" w:hAnsi="Calibri" w:eastAsia="Batang" w:cs="Calibri"/>
                <w:color w:val="1F497D"/>
                <w:szCs w:val="20"/>
                <w:lang w:val="en-GB" w:eastAsia="en-US"/>
              </w:rPr>
            </w:pPr>
            <w:r>
              <w:rPr>
                <w:rFonts w:ascii="Times" w:hAnsi="Times" w:eastAsia="Batang"/>
                <w:szCs w:val="20"/>
                <w:lang w:val="en-GB"/>
              </w:rPr>
              <w:t xml:space="preserve">On Rel.17 enhancements to facilitate MPE mitigation, confirm the following working assumption (in the midst of the previous agreement) as an agreement with the following refinement (highlighted in </w:t>
            </w:r>
            <w:r>
              <w:rPr>
                <w:rFonts w:ascii="Times" w:hAnsi="Times" w:eastAsia="Batang"/>
                <w:color w:val="FF0000"/>
                <w:szCs w:val="20"/>
                <w:lang w:val="en-GB"/>
              </w:rPr>
              <w:t>red</w:t>
            </w:r>
            <w:r>
              <w:rPr>
                <w:rFonts w:ascii="Times" w:hAnsi="Times" w:eastAsia="Batang"/>
                <w:szCs w:val="20"/>
                <w:lang w:val="en-GB"/>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snapToGrid w:val="0"/>
                    <w:spacing w:after="0" w:line="240" w:lineRule="auto"/>
                    <w:rPr>
                      <w:rFonts w:ascii="Times" w:hAnsi="Times" w:eastAsia="Batang"/>
                      <w:szCs w:val="20"/>
                      <w:lang w:val="en-GB" w:eastAsia="en-US"/>
                    </w:rPr>
                  </w:pPr>
                  <w:r>
                    <w:rPr>
                      <w:rFonts w:ascii="Times" w:hAnsi="Times" w:eastAsia="Batang"/>
                      <w:szCs w:val="20"/>
                      <w:lang w:val="en-GB" w:eastAsia="en-US"/>
                    </w:rPr>
                    <w:t>On Rel.17 enhancements to facilitate MPE mitigation, support the following enhancement on the Rel-16 event-triggered P-MPR-based reporting (included in the PHR report when a threshold is reached, reported via MAC-CE):</w:t>
                  </w:r>
                </w:p>
                <w:p>
                  <w:pPr>
                    <w:numPr>
                      <w:ilvl w:val="0"/>
                      <w:numId w:val="21"/>
                    </w:numPr>
                    <w:snapToGrid w:val="0"/>
                    <w:spacing w:after="0" w:line="240" w:lineRule="auto"/>
                    <w:rPr>
                      <w:rFonts w:ascii="Times" w:hAnsi="Times" w:eastAsia="Times New Roman"/>
                      <w:szCs w:val="20"/>
                      <w:lang w:val="en-GB" w:eastAsia="en-US"/>
                    </w:rPr>
                  </w:pPr>
                  <w:r>
                    <w:rPr>
                      <w:rFonts w:ascii="Times" w:hAnsi="Times" w:eastAsia="Times New Roman"/>
                      <w:szCs w:val="20"/>
                      <w:lang w:val="en-GB" w:eastAsia="en-US"/>
                    </w:rPr>
                    <w:t xml:space="preserve">In addition to the existing field in the PHR MAC-CE, N≥1 P-MPR values can be reported </w:t>
                  </w:r>
                </w:p>
                <w:p>
                  <w:pPr>
                    <w:numPr>
                      <w:ilvl w:val="1"/>
                      <w:numId w:val="21"/>
                    </w:numPr>
                    <w:snapToGrid w:val="0"/>
                    <w:spacing w:after="0" w:line="240" w:lineRule="auto"/>
                    <w:rPr>
                      <w:rFonts w:ascii="Times" w:hAnsi="Times" w:eastAsia="Times New Roman"/>
                      <w:szCs w:val="20"/>
                      <w:lang w:val="en-GB" w:eastAsia="en-US"/>
                    </w:rPr>
                  </w:pPr>
                  <w:r>
                    <w:rPr>
                      <w:rFonts w:ascii="Times" w:hAnsi="Times" w:eastAsia="Times New Roman"/>
                      <w:szCs w:val="20"/>
                      <w:lang w:val="en-GB" w:eastAsia="en-US"/>
                    </w:rPr>
                    <w:t xml:space="preserve">The N P-MPR values are reported together with the following: </w:t>
                  </w:r>
                </w:p>
                <w:p>
                  <w:pPr>
                    <w:numPr>
                      <w:ilvl w:val="2"/>
                      <w:numId w:val="21"/>
                    </w:numPr>
                    <w:snapToGrid w:val="0"/>
                    <w:spacing w:after="0" w:line="240" w:lineRule="auto"/>
                    <w:rPr>
                      <w:rFonts w:ascii="Times" w:hAnsi="Times" w:eastAsia="Times New Roman"/>
                      <w:szCs w:val="20"/>
                      <w:lang w:val="en-GB" w:eastAsia="en-US"/>
                    </w:rPr>
                  </w:pPr>
                  <w:r>
                    <w:rPr>
                      <w:rFonts w:ascii="Times" w:hAnsi="Times" w:eastAsia="Times New Roman"/>
                      <w:strike/>
                      <w:color w:val="FF0000"/>
                      <w:szCs w:val="20"/>
                      <w:lang w:val="en-GB" w:eastAsia="en-US"/>
                    </w:rPr>
                    <w:t>(Working Assumption)</w:t>
                  </w:r>
                  <w:r>
                    <w:rPr>
                      <w:rFonts w:ascii="Times" w:hAnsi="Times" w:eastAsia="Times New Roman"/>
                      <w:szCs w:val="20"/>
                      <w:lang w:val="en-GB" w:eastAsia="en-US"/>
                    </w:rPr>
                    <w:t xml:space="preserve"> For each P-MPR value, up to M SSBRI(s)/CRI(s), where the SSBRI(s)/CRI(s) is selected by the UE from a candidate SSB/CSI-RS resource pool (FFS: how to perform the selection) </w:t>
                  </w:r>
                </w:p>
                <w:p>
                  <w:pPr>
                    <w:numPr>
                      <w:ilvl w:val="3"/>
                      <w:numId w:val="21"/>
                    </w:numPr>
                    <w:snapToGrid w:val="0"/>
                    <w:spacing w:after="0" w:line="240" w:lineRule="auto"/>
                    <w:rPr>
                      <w:rFonts w:ascii="Times" w:hAnsi="Times" w:eastAsia="Times New Roman"/>
                      <w:color w:val="FF0000"/>
                      <w:szCs w:val="20"/>
                      <w:lang w:val="en-GB" w:eastAsia="en-US"/>
                    </w:rPr>
                  </w:pPr>
                  <w:r>
                    <w:rPr>
                      <w:rFonts w:ascii="Times" w:hAnsi="Times" w:eastAsia="Times New Roman"/>
                      <w:color w:val="FF0000"/>
                      <w:szCs w:val="20"/>
                      <w:lang w:val="en-GB" w:eastAsia="en-US"/>
                    </w:rPr>
                    <w:t>Support M=1</w:t>
                  </w:r>
                </w:p>
                <w:p>
                  <w:pPr>
                    <w:numPr>
                      <w:ilvl w:val="3"/>
                      <w:numId w:val="21"/>
                    </w:numPr>
                    <w:snapToGrid w:val="0"/>
                    <w:spacing w:after="0" w:line="240" w:lineRule="auto"/>
                    <w:rPr>
                      <w:rFonts w:ascii="Times" w:hAnsi="Times" w:eastAsia="Times New Roman"/>
                      <w:strike/>
                      <w:color w:val="FF0000"/>
                      <w:szCs w:val="20"/>
                      <w:lang w:val="en-GB" w:eastAsia="en-US"/>
                    </w:rPr>
                  </w:pPr>
                  <w:r>
                    <w:rPr>
                      <w:rFonts w:ascii="Times" w:hAnsi="Times" w:eastAsia="Times New Roman"/>
                      <w:strike/>
                      <w:color w:val="FF0000"/>
                      <w:szCs w:val="20"/>
                      <w:lang w:val="en-GB" w:eastAsia="en-US"/>
                    </w:rPr>
                    <w:t>FFS: The supported value(s) of M</w:t>
                  </w:r>
                  <w:r>
                    <w:rPr>
                      <w:rFonts w:ascii="Times" w:hAnsi="Times" w:eastAsia="Times New Roman"/>
                      <w:iCs/>
                      <w:strike/>
                      <w:color w:val="FF0000"/>
                      <w:szCs w:val="20"/>
                      <w:lang w:val="en-GB" w:eastAsia="en-US"/>
                    </w:rPr>
                    <w:t xml:space="preserve"> </w:t>
                  </w:r>
                </w:p>
                <w:p>
                  <w:pPr>
                    <w:numPr>
                      <w:ilvl w:val="0"/>
                      <w:numId w:val="21"/>
                    </w:numPr>
                    <w:snapToGrid w:val="0"/>
                    <w:spacing w:after="0" w:line="240" w:lineRule="auto"/>
                    <w:rPr>
                      <w:rFonts w:ascii="Times" w:hAnsi="Times" w:eastAsia="Times New Roman"/>
                      <w:strike/>
                      <w:color w:val="FF0000"/>
                      <w:szCs w:val="20"/>
                      <w:lang w:val="en-GB" w:eastAsia="en-US"/>
                    </w:rPr>
                  </w:pPr>
                  <w:r>
                    <w:rPr>
                      <w:rFonts w:ascii="Times" w:hAnsi="Times" w:eastAsia="Times New Roman"/>
                      <w:strike/>
                      <w:color w:val="FF0000"/>
                      <w:szCs w:val="20"/>
                      <w:lang w:val="en-GB" w:eastAsia="en-US"/>
                    </w:rPr>
                    <w:t>FFS: Additional reporting quantities, e.g. SSBRI/CRI, MPR+DL RSRP, or modified virtual PHR</w:t>
                  </w:r>
                </w:p>
                <w:p>
                  <w:pPr>
                    <w:numPr>
                      <w:ilvl w:val="0"/>
                      <w:numId w:val="21"/>
                    </w:numPr>
                    <w:snapToGrid w:val="0"/>
                    <w:spacing w:after="0" w:line="240" w:lineRule="auto"/>
                    <w:rPr>
                      <w:rFonts w:ascii="Times" w:hAnsi="Times" w:eastAsia="Times New Roman"/>
                      <w:strike/>
                      <w:color w:val="FF0000"/>
                      <w:szCs w:val="20"/>
                      <w:lang w:val="en-GB" w:eastAsia="en-US"/>
                    </w:rPr>
                  </w:pPr>
                  <w:r>
                    <w:rPr>
                      <w:rFonts w:ascii="Times" w:hAnsi="Times" w:eastAsia="Times New Roman"/>
                      <w:strike/>
                      <w:color w:val="FF0000"/>
                      <w:szCs w:val="20"/>
                      <w:lang w:val="en-GB" w:eastAsia="en-US"/>
                    </w:rPr>
                    <w:t>FFS: additional signaling (e.g. CSI triggering) from the NW</w:t>
                  </w:r>
                </w:p>
              </w:tc>
            </w:tr>
          </w:tbl>
          <w:p>
            <w:pPr>
              <w:snapToGrid w:val="0"/>
              <w:spacing w:after="0" w:line="240" w:lineRule="auto"/>
              <w:rPr>
                <w:rFonts w:ascii="Times" w:hAnsi="Times" w:eastAsia="Batang"/>
                <w:b/>
                <w:szCs w:val="20"/>
                <w:highlight w:val="green"/>
                <w:lang w:val="en-GB" w:eastAsia="en-US"/>
              </w:rPr>
            </w:pPr>
          </w:p>
          <w:p>
            <w:pPr>
              <w:snapToGrid w:val="0"/>
              <w:spacing w:after="0" w:line="240" w:lineRule="auto"/>
              <w:rPr>
                <w:rFonts w:ascii="Times" w:hAnsi="Times" w:eastAsia="Batang"/>
                <w:szCs w:val="20"/>
                <w:lang w:val="en-GB" w:eastAsia="en-US"/>
              </w:rPr>
            </w:pPr>
            <w:r>
              <w:rPr>
                <w:rFonts w:ascii="Times" w:hAnsi="Times" w:eastAsia="Batang"/>
                <w:b/>
                <w:szCs w:val="20"/>
                <w:lang w:val="en-GB" w:eastAsia="en-US"/>
              </w:rPr>
              <w:t>Agreement</w:t>
            </w:r>
          </w:p>
          <w:p>
            <w:pPr>
              <w:snapToGrid w:val="0"/>
              <w:spacing w:after="0" w:line="240" w:lineRule="auto"/>
              <w:jc w:val="both"/>
              <w:rPr>
                <w:rFonts w:ascii="Times" w:hAnsi="Times" w:eastAsia="Times New Roman" w:cs="Times"/>
                <w:color w:val="FF0000"/>
                <w:szCs w:val="24"/>
                <w:lang w:val="en-GB"/>
              </w:rPr>
            </w:pPr>
            <w:r>
              <w:rPr>
                <w:rFonts w:eastAsia="Batang"/>
                <w:szCs w:val="24"/>
                <w:lang w:val="en-GB"/>
              </w:rPr>
              <w:t xml:space="preserve">On Rel.17 enhancements to facilitate MPE mitigation, the candidate resource pool corresponds to a CSI-RS/SSB resource set configured via RRC (details up to RAN2) </w:t>
            </w:r>
          </w:p>
        </w:tc>
      </w:tr>
    </w:tbl>
    <w:p>
      <w:pPr>
        <w:overflowPunct w:val="0"/>
        <w:autoSpaceDE w:val="0"/>
        <w:autoSpaceDN w:val="0"/>
        <w:adjustRightInd w:val="0"/>
        <w:spacing w:before="120" w:beforeLines="50" w:after="120" w:line="300" w:lineRule="auto"/>
        <w:jc w:val="both"/>
        <w:textAlignment w:val="baseline"/>
        <w:rPr>
          <w:szCs w:val="20"/>
          <w:lang w:val="en-GB"/>
        </w:rPr>
      </w:pPr>
      <w:r>
        <w:rPr>
          <w:szCs w:val="20"/>
          <w:lang w:val="en-GB"/>
        </w:rPr>
        <w:t>For remaining issues we have the following analysis:</w:t>
      </w:r>
    </w:p>
    <w:p>
      <w:pPr>
        <w:pStyle w:val="111"/>
        <w:numPr>
          <w:ilvl w:val="1"/>
          <w:numId w:val="15"/>
        </w:numPr>
        <w:overflowPunct w:val="0"/>
        <w:autoSpaceDE w:val="0"/>
        <w:autoSpaceDN w:val="0"/>
        <w:adjustRightInd w:val="0"/>
        <w:snapToGrid w:val="0"/>
        <w:spacing w:before="60" w:beforeLines="25" w:after="120" w:afterLines="50" w:line="300" w:lineRule="auto"/>
        <w:ind w:left="400" w:firstLineChars="0"/>
        <w:jc w:val="both"/>
        <w:textAlignment w:val="baseline"/>
        <w:rPr>
          <w:szCs w:val="20"/>
          <w:lang w:val="en-GB"/>
        </w:rPr>
      </w:pPr>
      <w:r>
        <w:rPr>
          <w:szCs w:val="20"/>
          <w:lang w:val="en-GB"/>
        </w:rPr>
        <w:t>In technical, if beam reporting is only based on MPE rather than both MPE and the virtual/real transmission, the UL beam (with low MPE but large path loss) recommended by reporting may be useless, and more power is wasted for keeping the same performance. The UE shall report SSBRI(s)/CRI(s) along with the virtual PHR with the objective of maximizing PHR value, i.e., minimizing the value of P-MPR and PL.</w:t>
      </w:r>
    </w:p>
    <w:p>
      <w:pPr>
        <w:pStyle w:val="111"/>
        <w:numPr>
          <w:ilvl w:val="1"/>
          <w:numId w:val="15"/>
        </w:numPr>
        <w:overflowPunct w:val="0"/>
        <w:autoSpaceDE w:val="0"/>
        <w:autoSpaceDN w:val="0"/>
        <w:adjustRightInd w:val="0"/>
        <w:snapToGrid w:val="0"/>
        <w:spacing w:before="60" w:beforeLines="25" w:after="120" w:afterLines="50" w:line="300" w:lineRule="auto"/>
        <w:ind w:left="400" w:firstLineChars="0"/>
        <w:jc w:val="both"/>
        <w:textAlignment w:val="baseline"/>
        <w:rPr>
          <w:szCs w:val="20"/>
          <w:lang w:val="en-GB"/>
        </w:rPr>
      </w:pPr>
      <w:r>
        <w:rPr>
          <w:szCs w:val="20"/>
          <w:lang w:val="en-GB"/>
        </w:rPr>
        <w:t xml:space="preserve">On the other hand, beam specific PHR reporting, i.e., difference between Pcmax and the required transmission power, can well present the MPE impact transparently, and a UL beam re-indication can be performed by gNB if a low PHR, e.g., 0-dB or negative, is received for the current beam. </w:t>
      </w:r>
    </w:p>
    <w:p>
      <w:pPr>
        <w:pStyle w:val="111"/>
        <w:numPr>
          <w:ilvl w:val="1"/>
          <w:numId w:val="15"/>
        </w:numPr>
        <w:overflowPunct w:val="0"/>
        <w:autoSpaceDE w:val="0"/>
        <w:autoSpaceDN w:val="0"/>
        <w:adjustRightInd w:val="0"/>
        <w:snapToGrid w:val="0"/>
        <w:spacing w:before="60" w:beforeLines="25" w:after="120" w:afterLines="50" w:line="300" w:lineRule="auto"/>
        <w:ind w:left="400" w:firstLineChars="0"/>
        <w:jc w:val="both"/>
        <w:textAlignment w:val="baseline"/>
        <w:rPr>
          <w:szCs w:val="20"/>
          <w:lang w:val="en-GB"/>
        </w:rPr>
      </w:pPr>
      <w:r>
        <w:rPr>
          <w:szCs w:val="20"/>
          <w:lang w:val="en-GB"/>
        </w:rPr>
        <w:t>Besides, DL-RSRP can be derived according to P-MPR and the modified virtual PHR.</w:t>
      </w:r>
    </w:p>
    <w:p>
      <w:pPr>
        <w:widowControl w:val="0"/>
        <w:snapToGrid w:val="0"/>
        <w:spacing w:before="60" w:beforeLines="25" w:after="120" w:afterLines="50" w:line="300" w:lineRule="auto"/>
        <w:jc w:val="both"/>
        <w:rPr>
          <w:i/>
          <w:szCs w:val="20"/>
        </w:rPr>
      </w:pPr>
      <w:r>
        <w:rPr>
          <w:rFonts w:eastAsia="微软雅黑"/>
          <w:b/>
          <w:i/>
          <w:szCs w:val="20"/>
        </w:rPr>
        <w:t>Proposal 1</w:t>
      </w:r>
      <w:r>
        <w:rPr>
          <w:rFonts w:hint="eastAsia" w:eastAsia="微软雅黑"/>
          <w:b/>
          <w:i/>
          <w:szCs w:val="20"/>
          <w:lang w:val="en-US" w:eastAsia="zh-CN"/>
        </w:rPr>
        <w:t>4</w:t>
      </w:r>
      <w:r>
        <w:rPr>
          <w:rFonts w:eastAsia="微软雅黑"/>
          <w:b/>
          <w:i/>
          <w:szCs w:val="20"/>
        </w:rPr>
        <w:t>:</w:t>
      </w:r>
      <w:r>
        <w:rPr>
          <w:rFonts w:hint="eastAsia" w:eastAsia="微软雅黑"/>
          <w:b/>
          <w:i/>
          <w:szCs w:val="20"/>
        </w:rPr>
        <w:t xml:space="preserve"> </w:t>
      </w:r>
      <w:r>
        <w:rPr>
          <w:rFonts w:eastAsia="微软雅黑"/>
          <w:i/>
          <w:szCs w:val="20"/>
        </w:rPr>
        <w:t>On Rel</w:t>
      </w:r>
      <w:r>
        <w:rPr>
          <w:rFonts w:hint="eastAsia" w:eastAsia="微软雅黑"/>
          <w:i/>
          <w:szCs w:val="20"/>
        </w:rPr>
        <w:t>-</w:t>
      </w:r>
      <w:r>
        <w:rPr>
          <w:rFonts w:eastAsia="微软雅黑"/>
          <w:i/>
          <w:szCs w:val="20"/>
        </w:rPr>
        <w:t>17 enhancements to facilitate MPE mitigation</w:t>
      </w:r>
      <w:r>
        <w:rPr>
          <w:rFonts w:hint="eastAsia" w:eastAsia="微软雅黑"/>
          <w:i/>
          <w:szCs w:val="20"/>
        </w:rPr>
        <w:t>,</w:t>
      </w:r>
      <w:r>
        <w:rPr>
          <w:rFonts w:hint="eastAsia" w:eastAsia="宋体"/>
          <w:i/>
          <w:szCs w:val="20"/>
        </w:rPr>
        <w:t xml:space="preserve"> i</w:t>
      </w:r>
      <w:r>
        <w:rPr>
          <w:i/>
          <w:szCs w:val="20"/>
        </w:rPr>
        <w:t>ntroduc</w:t>
      </w:r>
      <w:r>
        <w:rPr>
          <w:rFonts w:hint="eastAsia" w:eastAsia="宋体"/>
          <w:i/>
          <w:szCs w:val="20"/>
        </w:rPr>
        <w:t>e</w:t>
      </w:r>
      <w:r>
        <w:rPr>
          <w:i/>
          <w:szCs w:val="20"/>
        </w:rPr>
        <w:t xml:space="preserve"> modified virtual PHR for each P-MPR value and SSBRI(s)/CRI(s)</w:t>
      </w:r>
      <w:r>
        <w:rPr>
          <w:rFonts w:hint="eastAsia" w:eastAsia="宋体"/>
          <w:i/>
          <w:szCs w:val="20"/>
        </w:rPr>
        <w:t xml:space="preserve"> </w:t>
      </w:r>
    </w:p>
    <w:p>
      <w:pPr>
        <w:pStyle w:val="109"/>
        <w:numPr>
          <w:ilvl w:val="0"/>
          <w:numId w:val="15"/>
        </w:numPr>
        <w:snapToGrid w:val="0"/>
        <w:spacing w:before="60" w:beforeLines="25" w:after="60" w:afterLines="25" w:line="300" w:lineRule="auto"/>
        <w:ind w:left="400" w:firstLineChars="0"/>
        <w:jc w:val="both"/>
        <w:rPr>
          <w:rFonts w:eastAsia="微软雅黑"/>
          <w:i/>
          <w:szCs w:val="20"/>
        </w:rPr>
      </w:pPr>
      <w:r>
        <w:rPr>
          <w:rFonts w:eastAsia="微软雅黑"/>
          <w:i/>
          <w:szCs w:val="20"/>
        </w:rPr>
        <w:t>The Pcmax to calculate the modified virtual PHR takes into account the P-MPR based on MPE impact</w:t>
      </w:r>
    </w:p>
    <w:p>
      <w:pPr>
        <w:pStyle w:val="109"/>
        <w:numPr>
          <w:ilvl w:val="0"/>
          <w:numId w:val="15"/>
        </w:numPr>
        <w:snapToGrid w:val="0"/>
        <w:spacing w:before="60" w:beforeLines="25" w:after="60" w:afterLines="25" w:line="300" w:lineRule="auto"/>
        <w:ind w:left="400" w:firstLineChars="0"/>
        <w:jc w:val="both"/>
        <w:rPr>
          <w:rFonts w:eastAsia="微软雅黑"/>
          <w:i/>
          <w:szCs w:val="20"/>
          <w:lang w:val="en-GB"/>
        </w:rPr>
      </w:pPr>
      <w:r>
        <w:rPr>
          <w:rFonts w:eastAsia="微软雅黑"/>
          <w:i/>
          <w:szCs w:val="20"/>
        </w:rPr>
        <w:t xml:space="preserve">The pathloss to calculate the modified virtual PHR is based on measured L1-RSRP for corresponding SSBRI(s)/CRI(s) </w:t>
      </w:r>
    </w:p>
    <w:p>
      <w:pPr>
        <w:widowControl w:val="0"/>
        <w:snapToGrid w:val="0"/>
        <w:spacing w:before="60" w:beforeLines="25" w:after="120" w:afterLines="50" w:line="300" w:lineRule="auto"/>
        <w:jc w:val="both"/>
        <w:rPr>
          <w:rFonts w:eastAsia="微软雅黑"/>
          <w:szCs w:val="20"/>
        </w:rPr>
      </w:pPr>
      <w:r>
        <w:rPr>
          <w:rFonts w:hint="eastAsia" w:eastAsia="微软雅黑"/>
          <w:szCs w:val="20"/>
        </w:rPr>
        <w:t xml:space="preserve">In addition, common beam updated cross </w:t>
      </w:r>
      <w:r>
        <w:rPr>
          <w:rFonts w:eastAsia="微软雅黑"/>
          <w:szCs w:val="20"/>
        </w:rPr>
        <w:t>multiple CCs</w:t>
      </w:r>
      <w:r>
        <w:rPr>
          <w:rFonts w:hint="eastAsia" w:eastAsia="微软雅黑"/>
          <w:szCs w:val="20"/>
        </w:rPr>
        <w:t xml:space="preserve"> has been supported.</w:t>
      </w:r>
      <w:r>
        <w:rPr>
          <w:rFonts w:eastAsia="微软雅黑"/>
          <w:szCs w:val="20"/>
        </w:rPr>
        <w:t xml:space="preserve"> </w:t>
      </w:r>
      <w:r>
        <w:rPr>
          <w:rFonts w:hint="eastAsia" w:eastAsia="微软雅黑"/>
          <w:szCs w:val="20"/>
        </w:rPr>
        <w:t xml:space="preserve">MPE which is tightly related to beam direction should also be considered to be same or similar among different CCs for a given beam direction. For the sake of overhead reduction, a set of beam specific MPE (P-MPR) values </w:t>
      </w:r>
      <w:r>
        <w:rPr>
          <w:rFonts w:eastAsia="微软雅黑"/>
          <w:szCs w:val="20"/>
        </w:rPr>
        <w:t>may</w:t>
      </w:r>
      <w:r>
        <w:rPr>
          <w:rFonts w:hint="eastAsia" w:eastAsia="微软雅黑"/>
          <w:szCs w:val="20"/>
        </w:rPr>
        <w:t xml:space="preserve"> be shared among a group of CCs.</w:t>
      </w:r>
      <w:r>
        <w:rPr>
          <w:rFonts w:eastAsia="微软雅黑"/>
          <w:szCs w:val="20"/>
        </w:rPr>
        <w:t xml:space="preserve"> </w:t>
      </w:r>
    </w:p>
    <w:p>
      <w:pPr>
        <w:keepNext/>
        <w:widowControl w:val="0"/>
        <w:numPr>
          <w:ilvl w:val="0"/>
          <w:numId w:val="7"/>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RRC parameters for multi-beam operation</w:t>
      </w:r>
    </w:p>
    <w:p>
      <w:pPr>
        <w:overflowPunct w:val="0"/>
        <w:autoSpaceDE w:val="0"/>
        <w:autoSpaceDN w:val="0"/>
        <w:adjustRightInd w:val="0"/>
        <w:spacing w:before="120"/>
        <w:textAlignment w:val="baseline"/>
        <w:rPr>
          <w:rFonts w:eastAsia="微软雅黑"/>
          <w:lang w:val="en-GB"/>
        </w:rPr>
      </w:pPr>
      <w:r>
        <w:rPr>
          <w:rFonts w:eastAsia="微软雅黑"/>
        </w:rPr>
        <w:t>The stable RRC parameter</w:t>
      </w:r>
      <w:r>
        <w:rPr>
          <w:rFonts w:hint="eastAsia" w:eastAsia="微软雅黑"/>
          <w:lang w:val="en-US" w:eastAsia="zh-CN"/>
        </w:rPr>
        <w:t>s</w:t>
      </w:r>
      <w:r>
        <w:rPr>
          <w:rFonts w:eastAsia="微软雅黑"/>
        </w:rPr>
        <w:t xml:space="preserve"> ha</w:t>
      </w:r>
      <w:r>
        <w:rPr>
          <w:rFonts w:hint="eastAsia" w:eastAsia="微软雅黑"/>
          <w:lang w:val="en-US" w:eastAsia="zh-CN"/>
        </w:rPr>
        <w:t>ve</w:t>
      </w:r>
      <w:r>
        <w:rPr>
          <w:rFonts w:eastAsia="微软雅黑"/>
        </w:rPr>
        <w:t xml:space="preserve"> been agreed in RAN1#106b-e, but there are still several unstable one</w:t>
      </w:r>
      <w:r>
        <w:rPr>
          <w:rFonts w:hint="eastAsia" w:eastAsia="微软雅黑"/>
          <w:lang w:val="en-US" w:eastAsia="zh-CN"/>
        </w:rPr>
        <w:t>s</w:t>
      </w:r>
      <w:r>
        <w:rPr>
          <w:rFonts w:eastAsia="微软雅黑"/>
        </w:rPr>
        <w:t xml:space="preserve">. </w:t>
      </w:r>
      <w:r>
        <w:rPr>
          <w:rFonts w:eastAsia="微软雅黑"/>
          <w:lang w:val="en-GB"/>
        </w:rPr>
        <w:t>In this section, our corresponding views are elaborated herein.</w:t>
      </w:r>
    </w:p>
    <w:p>
      <w:pPr>
        <w:keepNext/>
        <w:keepLines/>
        <w:widowControl w:val="0"/>
        <w:numPr>
          <w:ilvl w:val="1"/>
          <w:numId w:val="7"/>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eastAsia="宋体"/>
          <w:b/>
          <w:bCs/>
          <w:kern w:val="2"/>
          <w:sz w:val="24"/>
          <w:szCs w:val="24"/>
        </w:rPr>
        <w:t>Unified TCI framework</w:t>
      </w:r>
    </w:p>
    <w:p>
      <w:pPr>
        <w:numPr>
          <w:ilvl w:val="2"/>
          <w:numId w:val="7"/>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Unified TCI state</w:t>
      </w:r>
    </w:p>
    <w:p>
      <w:pPr>
        <w:overflowPunct w:val="0"/>
        <w:autoSpaceDE w:val="0"/>
        <w:autoSpaceDN w:val="0"/>
        <w:adjustRightInd w:val="0"/>
        <w:spacing w:before="120"/>
        <w:textAlignment w:val="baseline"/>
        <w:rPr>
          <w:rFonts w:eastAsia="微软雅黑"/>
          <w:lang w:val="en-GB"/>
        </w:rPr>
      </w:pPr>
      <w:r>
        <w:rPr>
          <w:rFonts w:eastAsia="微软雅黑"/>
          <w:lang w:val="en-GB"/>
        </w:rPr>
        <w:t xml:space="preserve">In this subsection, we discuss the unstable RRC parameters for configuring the unified TCI state, involving TCI-State_r17, tci-StateType. </w:t>
      </w:r>
    </w:p>
    <w:p>
      <w:pPr>
        <w:pStyle w:val="111"/>
        <w:numPr>
          <w:ilvl w:val="0"/>
          <w:numId w:val="22"/>
        </w:numPr>
        <w:overflowPunct w:val="0"/>
        <w:autoSpaceDE w:val="0"/>
        <w:autoSpaceDN w:val="0"/>
        <w:adjustRightInd w:val="0"/>
        <w:spacing w:before="120" w:beforeLines="50" w:after="120" w:line="300" w:lineRule="auto"/>
        <w:ind w:firstLineChars="0"/>
        <w:jc w:val="both"/>
        <w:textAlignment w:val="baseline"/>
      </w:pPr>
      <w:r>
        <w:t xml:space="preserve">First of all, we do NOT identify the necessity of </w:t>
      </w:r>
      <w:r>
        <w:rPr>
          <w:rFonts w:eastAsia="微软雅黑"/>
          <w:lang w:val="en-GB"/>
        </w:rPr>
        <w:t xml:space="preserve">additional QCL Type (DL-only, UL-only and joint) which can be well implied by the QCL state configuration, and some restriction (e.g., SRS resource ID as a source RS only can apply to UL) can be specified in RAN1 spec directly. </w:t>
      </w:r>
    </w:p>
    <w:p>
      <w:pPr>
        <w:pStyle w:val="111"/>
        <w:numPr>
          <w:ilvl w:val="0"/>
          <w:numId w:val="22"/>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 xml:space="preserve">Then, we prefer to have a joint state pool for joint, DL and UL TCI state, considering RRC overhead and unified solution for re-numbering TCI state ID for subsequent MAC-CE/DCI command. </w:t>
      </w:r>
    </w:p>
    <w:p>
      <w:pPr>
        <w:spacing w:before="120"/>
        <w:rPr>
          <w:i/>
        </w:rPr>
      </w:pPr>
      <w:r>
        <w:rPr>
          <w:b/>
          <w:i/>
        </w:rPr>
        <w:t>Proposal 1</w:t>
      </w:r>
      <w:r>
        <w:rPr>
          <w:rFonts w:hint="eastAsia" w:eastAsia="宋体"/>
          <w:b/>
          <w:i/>
          <w:lang w:val="en-US" w:eastAsia="zh-CN"/>
        </w:rPr>
        <w:t>5</w:t>
      </w:r>
      <w:r>
        <w:rPr>
          <w:rFonts w:hint="eastAsia"/>
          <w:b/>
          <w:i/>
        </w:rPr>
        <w:t xml:space="preserve">: </w:t>
      </w:r>
      <w:r>
        <w:rPr>
          <w:i/>
        </w:rPr>
        <w:t>For RRC configuration for unified TCI state, the following modification is proposed in red</w:t>
      </w:r>
    </w:p>
    <w:tbl>
      <w:tblPr>
        <w:tblStyle w:val="23"/>
        <w:tblW w:w="9209" w:type="dxa"/>
        <w:tblInd w:w="0" w:type="dxa"/>
        <w:tblLayout w:type="autofit"/>
        <w:tblCellMar>
          <w:top w:w="0" w:type="dxa"/>
          <w:left w:w="108" w:type="dxa"/>
          <w:bottom w:w="0" w:type="dxa"/>
          <w:right w:w="108" w:type="dxa"/>
        </w:tblCellMar>
      </w:tblPr>
      <w:tblGrid>
        <w:gridCol w:w="1840"/>
        <w:gridCol w:w="3117"/>
        <w:gridCol w:w="4252"/>
      </w:tblGrid>
      <w:tr>
        <w:tblPrEx>
          <w:tblCellMar>
            <w:top w:w="0" w:type="dxa"/>
            <w:left w:w="108" w:type="dxa"/>
            <w:bottom w:w="0" w:type="dxa"/>
            <w:right w:w="108" w:type="dxa"/>
          </w:tblCellMar>
        </w:tblPrEx>
        <w:trPr>
          <w:trHeight w:val="1495"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rPr>
              <w:t>TCI-State_r17</w:t>
            </w:r>
          </w:p>
        </w:tc>
        <w:tc>
          <w:tcPr>
            <w:tcW w:w="311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rPr>
              <w:t>TCI state definition for Rel-17 unified TCI framework along with the components.</w:t>
            </w:r>
            <w:r>
              <w:rPr>
                <w:rFonts w:ascii="Times New Roman" w:hAnsi="Times New Roman" w:eastAsia="Times New Roman" w:cs="Times New Roman"/>
                <w:szCs w:val="20"/>
              </w:rPr>
              <w:br w:type="textWrapping"/>
            </w:r>
            <w:r>
              <w:rPr>
                <w:rFonts w:ascii="Times New Roman" w:hAnsi="Times New Roman" w:eastAsia="Times New Roman" w:cs="Times New Roman"/>
                <w:szCs w:val="20"/>
              </w:rPr>
              <w:t xml:space="preserve">Analogous to Rel-15/16, this includes TCI state ID and QCL Type 1 and 2, </w:t>
            </w:r>
            <w:r>
              <w:rPr>
                <w:rFonts w:ascii="Times New Roman" w:hAnsi="Times New Roman" w:eastAsia="Times New Roman" w:cs="Times New Roman"/>
                <w:strike/>
                <w:color w:val="FF0000"/>
                <w:szCs w:val="20"/>
              </w:rPr>
              <w:t>In addition, it includes TCI state type (note: column P excat structure is up to RAN2)</w:t>
            </w:r>
          </w:p>
        </w:tc>
        <w:tc>
          <w:tcPr>
            <w:tcW w:w="4252" w:type="dxa"/>
            <w:tcBorders>
              <w:top w:val="single" w:color="auto" w:sz="4" w:space="0"/>
              <w:left w:val="nil"/>
              <w:bottom w:val="single" w:color="auto" w:sz="4" w:space="0"/>
              <w:right w:val="single" w:color="auto" w:sz="4" w:space="0"/>
            </w:tcBorders>
          </w:tcPr>
          <w:p>
            <w:pPr>
              <w:spacing w:after="0" w:line="240" w:lineRule="auto"/>
              <w:rPr>
                <w:rFonts w:ascii="Times New Roman" w:hAnsi="Times New Roman" w:eastAsia="Times New Roman" w:cs="Times New Roman"/>
                <w:strike/>
                <w:color w:val="FF0000"/>
                <w:szCs w:val="20"/>
              </w:rPr>
            </w:pPr>
            <w:r>
              <w:rPr>
                <w:rFonts w:ascii="Times New Roman" w:hAnsi="Times New Roman" w:eastAsia="Times New Roman" w:cs="Times New Roman"/>
                <w:strike/>
                <w:color w:val="FF0000"/>
                <w:szCs w:val="20"/>
              </w:rPr>
              <w:t>An additional field for UL spatial relation info may be needed when tci-StateType is 'ULO' (UL TCI only), or this function can be performed with qcl-Type1. It is up to RAN2 to decide.</w:t>
            </w:r>
          </w:p>
          <w:p>
            <w:pPr>
              <w:spacing w:after="0" w:line="240" w:lineRule="auto"/>
              <w:rPr>
                <w:rFonts w:ascii="Times New Roman" w:hAnsi="Times New Roman" w:eastAsia="Times New Roman" w:cs="Times New Roman"/>
                <w:szCs w:val="20"/>
              </w:rPr>
            </w:pPr>
          </w:p>
          <w:p>
            <w:p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rPr>
              <w:t>It can be discussed in RAN2 whether tci-StateType values are needed or not (e.g. whether RAN2 can supersede/build on current RAN1 agreements to combine DL-only and joint TCI into one designation for RRC optimization)</w:t>
            </w:r>
          </w:p>
          <w:p>
            <w:pPr>
              <w:spacing w:after="0" w:line="240" w:lineRule="auto"/>
              <w:rPr>
                <w:rFonts w:ascii="Times New Roman" w:hAnsi="Times New Roman" w:eastAsia="Times New Roman" w:cs="Times New Roman"/>
                <w:szCs w:val="20"/>
              </w:rPr>
            </w:pPr>
          </w:p>
          <w:p>
            <w:pPr>
              <w:spacing w:after="0" w:line="240" w:lineRule="auto"/>
              <w:rPr>
                <w:rFonts w:ascii="Times New Roman" w:hAnsi="Times New Roman" w:eastAsia="Times New Roman" w:cs="Times New Roman"/>
                <w:strike/>
                <w:szCs w:val="20"/>
              </w:rPr>
            </w:pPr>
            <w:r>
              <w:rPr>
                <w:rFonts w:ascii="Times New Roman" w:hAnsi="Times New Roman" w:eastAsia="Times New Roman" w:cs="Times New Roman"/>
                <w:strike/>
                <w:color w:val="FF0000"/>
                <w:szCs w:val="20"/>
              </w:rPr>
              <w:t>It can be discussed in RAN2 whether a separate IE for UL-only TCI is needed (separately from the rest) as a part of RRC and/or MAC CE optimization</w:t>
            </w:r>
          </w:p>
        </w:tc>
      </w:tr>
      <w:tr>
        <w:tblPrEx>
          <w:tblCellMar>
            <w:top w:w="0" w:type="dxa"/>
            <w:left w:w="108" w:type="dxa"/>
            <w:bottom w:w="0" w:type="dxa"/>
            <w:right w:w="108" w:type="dxa"/>
          </w:tblCellMar>
        </w:tblPrEx>
        <w:trPr>
          <w:trHeight w:val="1315"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eastAsia="Times New Roman" w:cs="Times New Roman"/>
                <w:strike/>
                <w:color w:val="FF0000"/>
                <w:szCs w:val="20"/>
              </w:rPr>
              <w:t>tci-StateType</w:t>
            </w:r>
          </w:p>
        </w:tc>
        <w:tc>
          <w:tcPr>
            <w:tcW w:w="311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eastAsia="Times New Roman" w:cs="Times New Roman"/>
                <w:strike/>
                <w:color w:val="FF0000"/>
                <w:szCs w:val="20"/>
              </w:rPr>
              <w:t>Type of TCI state: DL only, or UL only, or Joint DL/UL</w:t>
            </w:r>
          </w:p>
        </w:tc>
        <w:tc>
          <w:tcPr>
            <w:tcW w:w="4252" w:type="dxa"/>
            <w:tcBorders>
              <w:top w:val="single" w:color="auto" w:sz="4" w:space="0"/>
              <w:left w:val="nil"/>
              <w:bottom w:val="single" w:color="auto" w:sz="4" w:space="0"/>
              <w:right w:val="single" w:color="auto" w:sz="4" w:space="0"/>
            </w:tcBorders>
          </w:tcPr>
          <w:p>
            <w:pPr>
              <w:spacing w:after="0" w:line="240" w:lineRule="auto"/>
              <w:rPr>
                <w:rFonts w:ascii="Times New Roman" w:hAnsi="Times New Roman" w:eastAsia="Times New Roman" w:cs="Times New Roman"/>
                <w:strike/>
                <w:color w:val="FF0000"/>
                <w:szCs w:val="20"/>
              </w:rPr>
            </w:pPr>
            <w:r>
              <w:rPr>
                <w:rFonts w:ascii="Times New Roman" w:hAnsi="Times New Roman" w:eastAsia="Times New Roman" w:cs="Times New Roman"/>
                <w:strike/>
                <w:color w:val="FF0000"/>
                <w:szCs w:val="20"/>
              </w:rPr>
              <w:t>It can be discussed in RAN2 whether tci-StateType values are needed or not (e.g. whether RAN2 can supersede/build on current RAN1 agreements to combine DL-only and joint TCI into one designation for RRC optimization)</w:t>
            </w:r>
          </w:p>
        </w:tc>
      </w:tr>
    </w:tbl>
    <w:p>
      <w:pPr>
        <w:numPr>
          <w:ilvl w:val="2"/>
          <w:numId w:val="7"/>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UL power control</w:t>
      </w:r>
    </w:p>
    <w:p>
      <w:pPr>
        <w:overflowPunct w:val="0"/>
        <w:autoSpaceDE w:val="0"/>
        <w:autoSpaceDN w:val="0"/>
        <w:adjustRightInd w:val="0"/>
        <w:spacing w:before="120"/>
        <w:jc w:val="both"/>
        <w:textAlignment w:val="baseline"/>
        <w:rPr>
          <w:rFonts w:eastAsia="微软雅黑"/>
          <w:lang w:val="en-GB"/>
        </w:rPr>
      </w:pPr>
      <w:r>
        <w:rPr>
          <w:rFonts w:eastAsia="微软雅黑"/>
          <w:lang w:val="en-GB"/>
        </w:rPr>
        <w:t xml:space="preserve">In this subsection, we discuss the unstable RRC parameters for UL power control related parameters, involving </w:t>
      </w:r>
      <w:r>
        <w:rPr>
          <w:rFonts w:eastAsia="等线"/>
        </w:rPr>
        <w:t xml:space="preserve"> SourceRS-Info_r17-PLRS</w:t>
      </w:r>
      <w:r>
        <w:rPr>
          <w:rFonts w:eastAsia="微软雅黑"/>
          <w:lang w:val="en-GB"/>
        </w:rPr>
        <w:t>. In general, we are fine with this parameter, but some refinement for parameter description is needed.</w:t>
      </w:r>
    </w:p>
    <w:p>
      <w:pPr>
        <w:spacing w:before="120"/>
        <w:rPr>
          <w:i/>
        </w:rPr>
      </w:pPr>
      <w:r>
        <w:rPr>
          <w:b/>
          <w:i/>
        </w:rPr>
        <w:t xml:space="preserve">Proposal </w:t>
      </w:r>
      <w:r>
        <w:rPr>
          <w:rFonts w:hint="eastAsia" w:eastAsia="宋体"/>
          <w:b/>
          <w:i/>
          <w:lang w:val="en-US" w:eastAsia="zh-CN"/>
        </w:rPr>
        <w:t>16</w:t>
      </w:r>
      <w:r>
        <w:rPr>
          <w:rFonts w:hint="eastAsia"/>
          <w:b/>
          <w:i/>
        </w:rPr>
        <w:t xml:space="preserve">: </w:t>
      </w:r>
      <w:r>
        <w:rPr>
          <w:i/>
        </w:rPr>
        <w:t>For RRC configuration for UL power control, the following modification is proposed in red.</w:t>
      </w:r>
    </w:p>
    <w:tbl>
      <w:tblPr>
        <w:tblStyle w:val="23"/>
        <w:tblW w:w="9209" w:type="dxa"/>
        <w:tblInd w:w="0" w:type="dxa"/>
        <w:tblLayout w:type="autofit"/>
        <w:tblCellMar>
          <w:top w:w="0" w:type="dxa"/>
          <w:left w:w="108" w:type="dxa"/>
          <w:bottom w:w="0" w:type="dxa"/>
          <w:right w:w="108" w:type="dxa"/>
        </w:tblCellMar>
      </w:tblPr>
      <w:tblGrid>
        <w:gridCol w:w="1840"/>
        <w:gridCol w:w="3117"/>
        <w:gridCol w:w="4252"/>
      </w:tblGrid>
      <w:tr>
        <w:tblPrEx>
          <w:tblCellMar>
            <w:top w:w="0" w:type="dxa"/>
            <w:left w:w="108" w:type="dxa"/>
            <w:bottom w:w="0" w:type="dxa"/>
            <w:right w:w="108" w:type="dxa"/>
          </w:tblCellMar>
        </w:tblPrEx>
        <w:trPr>
          <w:trHeight w:val="913"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rPr>
              <w:t>SourceRS-Info_r17-PLRS</w:t>
            </w:r>
          </w:p>
        </w:tc>
        <w:tc>
          <w:tcPr>
            <w:tcW w:w="311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rPr>
              <w:t xml:space="preserve">Source RS </w:t>
            </w:r>
            <w:r>
              <w:rPr>
                <w:rFonts w:ascii="Times New Roman" w:hAnsi="Times New Roman" w:eastAsia="Times New Roman" w:cs="Times New Roman"/>
                <w:strike/>
                <w:color w:val="FF0000"/>
                <w:szCs w:val="20"/>
              </w:rPr>
              <w:t>and QCL Info definition</w:t>
            </w:r>
            <w:r>
              <w:rPr>
                <w:rFonts w:ascii="Times New Roman" w:hAnsi="Times New Roman" w:eastAsia="Times New Roman" w:cs="Times New Roman"/>
                <w:szCs w:val="20"/>
              </w:rPr>
              <w:t xml:space="preserve"> for Rel-17path-loss measurement (PL-RS)</w:t>
            </w:r>
          </w:p>
        </w:tc>
        <w:tc>
          <w:tcPr>
            <w:tcW w:w="4252" w:type="dxa"/>
            <w:tcBorders>
              <w:top w:val="single" w:color="auto" w:sz="4" w:space="0"/>
              <w:left w:val="nil"/>
              <w:bottom w:val="single" w:color="auto" w:sz="4" w:space="0"/>
              <w:right w:val="single" w:color="auto" w:sz="4" w:space="0"/>
            </w:tcBorders>
          </w:tcPr>
          <w:p>
            <w:pPr>
              <w:spacing w:after="0" w:line="240" w:lineRule="auto"/>
              <w:rPr>
                <w:rFonts w:ascii="Times New Roman" w:hAnsi="Times New Roman" w:eastAsia="Times New Roman" w:cs="Times New Roman"/>
                <w:strike w:val="0"/>
                <w:szCs w:val="20"/>
              </w:rPr>
            </w:pPr>
            <w:r>
              <w:rPr>
                <w:rFonts w:ascii="Times New Roman" w:hAnsi="Times New Roman" w:eastAsia="Times New Roman" w:cs="Times New Roman"/>
                <w:strike w:val="0"/>
                <w:color w:val="auto"/>
                <w:szCs w:val="20"/>
              </w:rPr>
              <w:t>Detailed design up to RAN2</w:t>
            </w:r>
          </w:p>
        </w:tc>
      </w:tr>
    </w:tbl>
    <w:p>
      <w:pPr>
        <w:numPr>
          <w:ilvl w:val="2"/>
          <w:numId w:val="7"/>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Applicable scope of an indicated TCI state</w:t>
      </w:r>
    </w:p>
    <w:p>
      <w:pPr>
        <w:pStyle w:val="85"/>
        <w:numPr>
          <w:ilvl w:val="255"/>
          <w:numId w:val="0"/>
        </w:numPr>
        <w:overflowPunct w:val="0"/>
        <w:autoSpaceDE w:val="0"/>
        <w:autoSpaceDN w:val="0"/>
        <w:adjustRightInd w:val="0"/>
        <w:spacing w:before="120" w:after="120"/>
        <w:textAlignment w:val="baseline"/>
        <w:rPr>
          <w:rFonts w:eastAsia="微软雅黑"/>
          <w:sz w:val="20"/>
          <w:szCs w:val="20"/>
        </w:rPr>
      </w:pPr>
      <w:r>
        <w:rPr>
          <w:rFonts w:eastAsia="微软雅黑"/>
          <w:sz w:val="20"/>
          <w:szCs w:val="20"/>
        </w:rPr>
        <w:t>In this subsection, we discuss the applicable scope of an indicated TCI state, i.e., TCI-StateIndicationType, ApplyTCI-State-r17-DLList, ApplyTCI-State-r17forSRS.</w:t>
      </w:r>
    </w:p>
    <w:p>
      <w:pPr>
        <w:pStyle w:val="111"/>
        <w:numPr>
          <w:ilvl w:val="0"/>
          <w:numId w:val="22"/>
        </w:numPr>
        <w:spacing w:before="120" w:beforeLines="50" w:after="120" w:line="300" w:lineRule="auto"/>
        <w:ind w:firstLineChars="0"/>
        <w:jc w:val="both"/>
        <w:rPr>
          <w:rFonts w:eastAsia="微软雅黑"/>
          <w:szCs w:val="20"/>
        </w:rPr>
      </w:pPr>
      <w:r>
        <w:rPr>
          <w:rFonts w:eastAsia="微软雅黑"/>
          <w:szCs w:val="20"/>
        </w:rPr>
        <w:t xml:space="preserve">Regarding TCI-StateIndicationType, based on the </w:t>
      </w:r>
      <w:r>
        <w:rPr>
          <w:rFonts w:hint="eastAsia" w:eastAsia="微软雅黑"/>
          <w:szCs w:val="20"/>
          <w:lang w:val="en-US" w:eastAsia="zh-CN"/>
        </w:rPr>
        <w:t xml:space="preserve">existing </w:t>
      </w:r>
      <w:r>
        <w:rPr>
          <w:rFonts w:eastAsia="微软雅黑"/>
          <w:szCs w:val="20"/>
        </w:rPr>
        <w:t>agreement, we think that it is necessary to be added as a new parameter for enabling a corresponding joint TCI activation MAC-CE or separate TCI activation MAC-CE.</w:t>
      </w:r>
    </w:p>
    <w:p>
      <w:pPr>
        <w:pStyle w:val="111"/>
        <w:numPr>
          <w:ilvl w:val="0"/>
          <w:numId w:val="22"/>
        </w:numPr>
        <w:spacing w:before="120" w:beforeLines="50" w:after="120" w:line="300" w:lineRule="auto"/>
        <w:ind w:firstLineChars="0"/>
        <w:jc w:val="both"/>
        <w:rPr>
          <w:rFonts w:eastAsia="微软雅黑"/>
          <w:szCs w:val="20"/>
        </w:rPr>
      </w:pPr>
      <w:r>
        <w:rPr>
          <w:rFonts w:eastAsia="微软雅黑"/>
          <w:szCs w:val="20"/>
        </w:rPr>
        <w:t>Regarding ApplyTCI-State-r17-DLList and ApplyTCI-State-r17forSRS, considering the legacy TCI/spatial-relation configuration is still needed for the DL/UL channel/RS not sharing the indicated unified TCI, we need to have a clear RRC parameter to distinguish those behavior. Otherwise, we have to discuss the complicate rules in RAN1. Like SRS, we suggest to have the similar configuration for DL CSI-RS (non-UE-dedicated PDCCH can be directly identified in RAN1 spec), rather than a list for consistency.</w:t>
      </w:r>
    </w:p>
    <w:p>
      <w:pPr>
        <w:spacing w:before="120"/>
        <w:rPr>
          <w:i/>
        </w:rPr>
      </w:pPr>
      <w:r>
        <w:rPr>
          <w:b/>
          <w:i/>
        </w:rPr>
        <w:t xml:space="preserve">Proposal </w:t>
      </w:r>
      <w:r>
        <w:rPr>
          <w:rFonts w:hint="eastAsia" w:eastAsia="宋体"/>
          <w:b/>
          <w:i/>
          <w:lang w:val="en-US" w:eastAsia="zh-CN"/>
        </w:rPr>
        <w:t>17</w:t>
      </w:r>
      <w:r>
        <w:rPr>
          <w:rFonts w:hint="eastAsia"/>
          <w:b/>
          <w:i/>
        </w:rPr>
        <w:t xml:space="preserve">: </w:t>
      </w:r>
      <w:r>
        <w:rPr>
          <w:i/>
        </w:rPr>
        <w:t>For applicable scope of an indicated TCI state, the following modification is proposed in red.</w:t>
      </w:r>
    </w:p>
    <w:tbl>
      <w:tblPr>
        <w:tblStyle w:val="23"/>
        <w:tblW w:w="9209" w:type="dxa"/>
        <w:tblInd w:w="0" w:type="dxa"/>
        <w:tblLayout w:type="autofit"/>
        <w:tblCellMar>
          <w:top w:w="0" w:type="dxa"/>
          <w:left w:w="108" w:type="dxa"/>
          <w:bottom w:w="0" w:type="dxa"/>
          <w:right w:w="108" w:type="dxa"/>
        </w:tblCellMar>
      </w:tblPr>
      <w:tblGrid>
        <w:gridCol w:w="1840"/>
        <w:gridCol w:w="3117"/>
        <w:gridCol w:w="4252"/>
      </w:tblGrid>
      <w:tr>
        <w:tblPrEx>
          <w:tblCellMar>
            <w:top w:w="0" w:type="dxa"/>
            <w:left w:w="108" w:type="dxa"/>
            <w:bottom w:w="0" w:type="dxa"/>
            <w:right w:w="108" w:type="dxa"/>
          </w:tblCellMar>
        </w:tblPrEx>
        <w:trPr>
          <w:trHeight w:val="913"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eastAsia="Times New Roman"/>
                <w:szCs w:val="20"/>
              </w:rPr>
            </w:pPr>
            <w:r>
              <w:rPr>
                <w:rFonts w:eastAsia="Times New Roman"/>
                <w:szCs w:val="20"/>
              </w:rPr>
              <w:t>TCI-StateIndicationType</w:t>
            </w:r>
          </w:p>
        </w:tc>
        <w:tc>
          <w:tcPr>
            <w:tcW w:w="311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cs="Times New Roman"/>
                <w:szCs w:val="20"/>
              </w:rPr>
              <w:t>Type of TCI state INDICATION (agreement on RRC switching)</w:t>
            </w:r>
            <w:r>
              <w:rPr>
                <w:rFonts w:ascii="Times New Roman" w:hAnsi="Times New Roman" w:cs="Times New Roman"/>
                <w:szCs w:val="20"/>
              </w:rPr>
              <w:br w:type="textWrapping"/>
            </w:r>
            <w:r>
              <w:rPr>
                <w:rFonts w:ascii="Times New Roman" w:hAnsi="Times New Roman" w:cs="Times New Roman"/>
                <w:szCs w:val="20"/>
              </w:rPr>
              <w:t>Note: When configured for SeparateTCI, switching among DLO, ULO, and DLO+ULO indication is done via TCI field codepoints in DCI formats 1_1/1_2</w:t>
            </w:r>
          </w:p>
          <w:p>
            <w:pPr>
              <w:spacing w:after="0" w:line="240" w:lineRule="auto"/>
              <w:rPr>
                <w:rFonts w:eastAsia="Times New Roman"/>
                <w:szCs w:val="20"/>
              </w:rPr>
            </w:pPr>
          </w:p>
        </w:tc>
        <w:tc>
          <w:tcPr>
            <w:tcW w:w="4252" w:type="dxa"/>
            <w:tcBorders>
              <w:top w:val="single" w:color="auto" w:sz="4" w:space="0"/>
              <w:left w:val="nil"/>
              <w:bottom w:val="single" w:color="auto" w:sz="4" w:space="0"/>
              <w:right w:val="single" w:color="auto" w:sz="4" w:space="0"/>
            </w:tcBorders>
          </w:tcPr>
          <w:p>
            <w:pPr>
              <w:spacing w:after="0" w:line="240" w:lineRule="auto"/>
              <w:rPr>
                <w:rFonts w:eastAsia="Times New Roman"/>
                <w:szCs w:val="20"/>
              </w:rPr>
            </w:pPr>
            <w:r>
              <w:rPr>
                <w:rFonts w:eastAsia="Times New Roman"/>
                <w:szCs w:val="20"/>
              </w:rPr>
              <w:t>Per agreement, switching between joint and separate TCI is done via RRC. How this is to be used will be further discussed in RAN2, e.g. if/how this changes the interpretation of the MAC CE TCI activation message</w:t>
            </w:r>
          </w:p>
        </w:tc>
      </w:tr>
      <w:tr>
        <w:tblPrEx>
          <w:tblCellMar>
            <w:top w:w="0" w:type="dxa"/>
            <w:left w:w="108" w:type="dxa"/>
            <w:bottom w:w="0" w:type="dxa"/>
            <w:right w:w="108" w:type="dxa"/>
          </w:tblCellMar>
        </w:tblPrEx>
        <w:trPr>
          <w:trHeight w:val="913"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line="240" w:lineRule="auto"/>
              <w:rPr>
                <w:rFonts w:eastAsia="Times New Roman"/>
                <w:szCs w:val="20"/>
              </w:rPr>
            </w:pPr>
            <w:r>
              <w:rPr>
                <w:rFonts w:ascii="Times New Roman" w:hAnsi="Times New Roman" w:cs="Times New Roman"/>
                <w:strike/>
                <w:color w:val="FF0000"/>
                <w:szCs w:val="20"/>
              </w:rPr>
              <w:t>ApplyTCI-State-r17-DLList</w:t>
            </w:r>
            <w:r>
              <w:rPr>
                <w:szCs w:val="20"/>
              </w:rPr>
              <w:t xml:space="preserve"> </w:t>
            </w:r>
            <w:r>
              <w:rPr>
                <w:color w:val="FF0000"/>
                <w:szCs w:val="20"/>
              </w:rPr>
              <w:t>ApplyTCI-State-r17forCSI-RS</w:t>
            </w:r>
          </w:p>
        </w:tc>
        <w:tc>
          <w:tcPr>
            <w:tcW w:w="311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zCs w:val="20"/>
              </w:rPr>
            </w:pPr>
            <w:r>
              <w:rPr>
                <w:rFonts w:eastAsia="Times New Roman"/>
                <w:szCs w:val="20"/>
              </w:rPr>
              <w:t>a list of the resource and/or resource set ID of the RS(s) which share the same indicated Rel-17 TCI state as UE-dedicated reception on PDSCH and for UE-dedicated reception on all or subset of CORESETs in a CC</w:t>
            </w:r>
          </w:p>
        </w:tc>
        <w:tc>
          <w:tcPr>
            <w:tcW w:w="4252" w:type="dxa"/>
            <w:tcBorders>
              <w:top w:val="single" w:color="auto" w:sz="4" w:space="0"/>
              <w:left w:val="nil"/>
              <w:bottom w:val="single" w:color="auto" w:sz="4" w:space="0"/>
              <w:right w:val="single" w:color="auto" w:sz="4" w:space="0"/>
            </w:tcBorders>
          </w:tcPr>
          <w:p>
            <w:pPr>
              <w:spacing w:after="0" w:line="240" w:lineRule="auto"/>
              <w:rPr>
                <w:rFonts w:eastAsia="Times New Roman"/>
                <w:szCs w:val="20"/>
              </w:rPr>
            </w:pPr>
            <w:r>
              <w:rPr>
                <w:rFonts w:eastAsia="Times New Roman"/>
                <w:szCs w:val="20"/>
              </w:rPr>
              <w:t>Candidates include: AP-CSI-RS for BM, AP-CSI-RS for CSI</w:t>
            </w:r>
            <w:r>
              <w:rPr>
                <w:rFonts w:eastAsia="Times New Roman"/>
                <w:strike/>
                <w:color w:val="FF0000"/>
                <w:szCs w:val="20"/>
              </w:rPr>
              <w:t>, DL DMRS for non-UE-dedicated PDCCH/PDSCH from the serving cell, AP-SRS for BM</w:t>
            </w:r>
            <w:r>
              <w:rPr>
                <w:rFonts w:eastAsia="Times New Roman"/>
                <w:szCs w:val="20"/>
              </w:rPr>
              <w:t>.</w:t>
            </w:r>
          </w:p>
          <w:p>
            <w:pPr>
              <w:spacing w:after="0" w:line="240" w:lineRule="auto"/>
              <w:rPr>
                <w:rFonts w:eastAsia="Times New Roman"/>
                <w:szCs w:val="20"/>
              </w:rPr>
            </w:pPr>
            <w:r>
              <w:rPr>
                <w:rFonts w:eastAsia="Times New Roman"/>
                <w:szCs w:val="20"/>
              </w:rPr>
              <w:t>Exact design including whether an explicit RRC parameter is needed or not is up to RAN2.</w:t>
            </w:r>
          </w:p>
        </w:tc>
      </w:tr>
      <w:tr>
        <w:tblPrEx>
          <w:tblCellMar>
            <w:top w:w="0" w:type="dxa"/>
            <w:left w:w="108" w:type="dxa"/>
            <w:bottom w:w="0" w:type="dxa"/>
            <w:right w:w="108" w:type="dxa"/>
          </w:tblCellMar>
        </w:tblPrEx>
        <w:trPr>
          <w:trHeight w:val="913"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line="240" w:lineRule="auto"/>
              <w:rPr>
                <w:rFonts w:eastAsia="Times New Roman"/>
                <w:szCs w:val="20"/>
              </w:rPr>
            </w:pPr>
            <w:r>
              <w:rPr>
                <w:rFonts w:ascii="Times New Roman" w:hAnsi="Times New Roman" w:cs="Times New Roman"/>
                <w:szCs w:val="20"/>
              </w:rPr>
              <w:t>ApplyTCI-State-r17forSRS</w:t>
            </w:r>
          </w:p>
        </w:tc>
        <w:tc>
          <w:tcPr>
            <w:tcW w:w="311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zCs w:val="20"/>
              </w:rPr>
            </w:pPr>
            <w:r>
              <w:rPr>
                <w:rFonts w:eastAsia="Times New Roman"/>
                <w:szCs w:val="20"/>
              </w:rPr>
              <w:t>Whether all SRS resources in resource set(s) configured for antenna switching/codebook-based/non-codebook-based UL transmissions share the same indicated Rel-17 TCI state as UE-dedicated reception on PDSCH and for UE-dedicated reception on all or subset of CORESETs in a CC</w:t>
            </w:r>
          </w:p>
        </w:tc>
        <w:tc>
          <w:tcPr>
            <w:tcW w:w="4252" w:type="dxa"/>
            <w:tcBorders>
              <w:top w:val="single" w:color="auto" w:sz="4" w:space="0"/>
              <w:left w:val="nil"/>
              <w:bottom w:val="single" w:color="auto" w:sz="4" w:space="0"/>
              <w:right w:val="single" w:color="auto" w:sz="4" w:space="0"/>
            </w:tcBorders>
          </w:tcPr>
          <w:p>
            <w:pPr>
              <w:spacing w:after="0" w:line="240" w:lineRule="auto"/>
              <w:rPr>
                <w:rFonts w:eastAsia="Times New Roman"/>
                <w:szCs w:val="20"/>
              </w:rPr>
            </w:pPr>
            <w:r>
              <w:rPr>
                <w:rFonts w:eastAsia="Times New Roman"/>
                <w:szCs w:val="20"/>
              </w:rPr>
              <w:t>Exact design including whether an explicit RRC parameter is needed or not is up to RAN2.</w:t>
            </w:r>
          </w:p>
        </w:tc>
      </w:tr>
    </w:tbl>
    <w:p>
      <w:pPr>
        <w:keepNext/>
        <w:keepLines/>
        <w:widowControl w:val="0"/>
        <w:numPr>
          <w:ilvl w:val="1"/>
          <w:numId w:val="7"/>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eastAsia="宋体"/>
          <w:b/>
          <w:bCs/>
          <w:kern w:val="2"/>
          <w:sz w:val="24"/>
          <w:szCs w:val="24"/>
        </w:rPr>
        <w:t>Inter-cell beam management</w:t>
      </w:r>
    </w:p>
    <w:p>
      <w:pPr>
        <w:overflowPunct w:val="0"/>
        <w:autoSpaceDE w:val="0"/>
        <w:autoSpaceDN w:val="0"/>
        <w:adjustRightInd w:val="0"/>
        <w:spacing w:before="120"/>
        <w:textAlignment w:val="baseline"/>
        <w:rPr>
          <w:rFonts w:eastAsia="微软雅黑"/>
          <w:lang w:val="en-GB"/>
        </w:rPr>
      </w:pPr>
      <w:r>
        <w:rPr>
          <w:rFonts w:eastAsia="微软雅黑"/>
          <w:lang w:val="en-GB"/>
        </w:rPr>
        <w:t>In this subsection, we discuss the unstable RRC parameters for inter-cell beam management (L1-centric mobility).</w:t>
      </w:r>
    </w:p>
    <w:p>
      <w:pPr>
        <w:pStyle w:val="111"/>
        <w:numPr>
          <w:ilvl w:val="0"/>
          <w:numId w:val="22"/>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 xml:space="preserve">Regarding InterCellAdditionalPCI, and QCL-Info_NeighbourCell, we prefer to use the above Rel-17 TCI state to achieve this function directly. </w:t>
      </w:r>
    </w:p>
    <w:p>
      <w:pPr>
        <w:pStyle w:val="111"/>
        <w:numPr>
          <w:ilvl w:val="1"/>
          <w:numId w:val="22"/>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 xml:space="preserve">First, in our views, InterCellAdditionalPCI should contain PCI, SSB time domain location, SSB periodicity and SSB transmission power. </w:t>
      </w:r>
    </w:p>
    <w:p>
      <w:pPr>
        <w:pStyle w:val="111"/>
        <w:numPr>
          <w:ilvl w:val="1"/>
          <w:numId w:val="22"/>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 xml:space="preserve">Then, the discussion on whether/how to introduce QCL-Info_NeighbourCell should be postponed and may be up to RAN2 signalling design. In technical, we should strive to have a unified solution for inter-cell beam management and inter-cell mTRP in Rel-17. </w:t>
      </w:r>
    </w:p>
    <w:p>
      <w:pPr>
        <w:pStyle w:val="111"/>
        <w:numPr>
          <w:ilvl w:val="0"/>
          <w:numId w:val="22"/>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Regarding InterCellBeamMetrics, InterCellMeasurementRS, and InterCellReportType, the necessity of those three parameters should be justified. Alternatively, it can be achieved by the legacy CSI framework well, besides that we have a new SSB-Index_r17 containing (interCellAdditionalNeighboringCell, SSB-index) in CSI-SSB-ResourceSet.</w:t>
      </w:r>
    </w:p>
    <w:p>
      <w:pPr>
        <w:spacing w:before="120"/>
        <w:rPr>
          <w:i/>
        </w:rPr>
      </w:pPr>
      <w:r>
        <w:rPr>
          <w:b/>
          <w:i/>
        </w:rPr>
        <w:t xml:space="preserve">Proposal </w:t>
      </w:r>
      <w:r>
        <w:rPr>
          <w:rFonts w:hint="eastAsia" w:eastAsia="宋体"/>
          <w:b/>
          <w:i/>
          <w:lang w:val="en-US" w:eastAsia="zh-CN"/>
        </w:rPr>
        <w:t>18</w:t>
      </w:r>
      <w:r>
        <w:rPr>
          <w:rFonts w:hint="eastAsia"/>
          <w:b/>
          <w:i/>
        </w:rPr>
        <w:t xml:space="preserve">: </w:t>
      </w:r>
      <w:r>
        <w:rPr>
          <w:i/>
        </w:rPr>
        <w:t>For inter-cell beam management, the following modification is proposed in red</w:t>
      </w:r>
    </w:p>
    <w:tbl>
      <w:tblPr>
        <w:tblStyle w:val="23"/>
        <w:tblW w:w="9209" w:type="dxa"/>
        <w:tblInd w:w="0" w:type="dxa"/>
        <w:tblLayout w:type="fixed"/>
        <w:tblCellMar>
          <w:top w:w="0" w:type="dxa"/>
          <w:left w:w="108" w:type="dxa"/>
          <w:bottom w:w="0" w:type="dxa"/>
          <w:right w:w="108" w:type="dxa"/>
        </w:tblCellMar>
      </w:tblPr>
      <w:tblGrid>
        <w:gridCol w:w="1838"/>
        <w:gridCol w:w="2977"/>
        <w:gridCol w:w="4394"/>
      </w:tblGrid>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InterCellBeamMetrics</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Number of inter-cell beam management metrics</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It can be discussed in RAN2 whether a new parameter is needed or the associated legacy parameter can be reused. Or if one parameter that includes all UL PC setting (other than PLRS) pars can be used.</w:t>
            </w:r>
            <w:r>
              <w:rPr>
                <w:rFonts w:ascii="Times New Roman" w:hAnsi="Times New Roman" w:cs="Times New Roman"/>
                <w:strike/>
                <w:color w:val="FF0000"/>
                <w:szCs w:val="20"/>
              </w:rPr>
              <w:br w:type="textWrapping"/>
            </w:r>
            <w:r>
              <w:rPr>
                <w:rFonts w:ascii="Times New Roman" w:hAnsi="Times New Roman" w:cs="Times New Roman"/>
                <w:strike/>
                <w:color w:val="FF0000"/>
                <w:szCs w:val="20"/>
              </w:rPr>
              <w:br w:type="textWrapping"/>
            </w:r>
            <w:r>
              <w:rPr>
                <w:rFonts w:ascii="Times New Roman" w:hAnsi="Times New Roman" w:cs="Times New Roman"/>
                <w:strike/>
                <w:color w:val="FF0000"/>
                <w:szCs w:val="20"/>
              </w:rPr>
              <w:t>It was agreed that one setting can (optionally) be associated with an UL or if applicable joint TCI state via RRC. The details are up to RAN2</w:t>
            </w: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InterCellMeasurementRS</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List of measurement RS for inter-cell beam management of type SSB-Index</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It can be discussed whether a new parameter is needed or the associated legacy parameter (for beam reporting in CSI framework) can be reused</w:t>
            </w: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InterCellReportType</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Inter-cell beam management report type</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It can be discussed in RAN2 whether a new parameter is needed or the associated legacy parameter (e.g. for beam reporting in CSI framework, or SSB info) can be reused</w:t>
            </w: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strike/>
                <w:color w:val="FF0000"/>
                <w:szCs w:val="20"/>
              </w:rPr>
            </w:pPr>
            <w:r>
              <w:rPr>
                <w:color w:val="FF0000"/>
              </w:rPr>
              <w:t>SSB-Index_r17</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strike/>
                <w:color w:val="FF0000"/>
                <w:szCs w:val="20"/>
              </w:rPr>
            </w:pPr>
            <w:r>
              <w:rPr>
                <w:rFonts w:ascii="Arial" w:hAnsi="Arial" w:eastAsia="Times New Roman" w:cs="Arial"/>
                <w:color w:val="FF0000"/>
                <w:sz w:val="18"/>
                <w:szCs w:val="18"/>
              </w:rPr>
              <w:t>Containing (</w:t>
            </w:r>
            <w:r>
              <w:rPr>
                <w:rFonts w:eastAsia="微软雅黑"/>
                <w:color w:val="FF0000"/>
                <w:lang w:val="en-GB"/>
              </w:rPr>
              <w:t>interCellAdditionalPCI</w:t>
            </w:r>
            <w:r>
              <w:rPr>
                <w:rFonts w:ascii="Arial" w:hAnsi="Arial" w:eastAsia="Times New Roman" w:cs="Arial"/>
                <w:color w:val="FF0000"/>
                <w:sz w:val="18"/>
                <w:szCs w:val="18"/>
              </w:rPr>
              <w:t>, SSB-index) in CSI-SSB-ResourceSet</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strike/>
                <w:color w:val="FF0000"/>
                <w:szCs w:val="20"/>
              </w:rPr>
            </w:pP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szCs w:val="20"/>
              </w:rPr>
            </w:pPr>
            <w:r>
              <w:rPr>
                <w:rFonts w:ascii="Times New Roman" w:hAnsi="Times New Roman" w:cs="Times New Roman"/>
                <w:szCs w:val="20"/>
              </w:rPr>
              <w:t>InterCellAdditionalPCI</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zCs w:val="20"/>
              </w:rPr>
            </w:pPr>
            <w:r>
              <w:rPr>
                <w:rFonts w:ascii="Times New Roman" w:hAnsi="Times New Roman" w:cs="Times New Roman"/>
                <w:szCs w:val="20"/>
              </w:rPr>
              <w:t xml:space="preserve">Additional </w:t>
            </w:r>
            <w:r>
              <w:rPr>
                <w:rFonts w:ascii="Times New Roman" w:hAnsi="Times New Roman" w:cs="Times New Roman"/>
                <w:strike/>
                <w:color w:val="FF0000"/>
                <w:szCs w:val="20"/>
              </w:rPr>
              <w:t>PCIs</w:t>
            </w:r>
            <w:r>
              <w:rPr>
                <w:rFonts w:ascii="Times New Roman" w:hAnsi="Times New Roman" w:cs="Times New Roman"/>
                <w:strike/>
                <w:szCs w:val="20"/>
              </w:rPr>
              <w:t xml:space="preserve"> </w:t>
            </w:r>
            <w:r>
              <w:rPr>
                <w:rFonts w:ascii="Arial" w:hAnsi="Arial" w:eastAsia="Times New Roman" w:cs="Arial"/>
                <w:color w:val="FF0000"/>
                <w:sz w:val="18"/>
                <w:szCs w:val="18"/>
              </w:rPr>
              <w:t>{</w:t>
            </w:r>
            <w:r>
              <w:rPr>
                <w:rFonts w:eastAsia="微软雅黑"/>
                <w:color w:val="FF0000"/>
                <w:lang w:val="en-GB"/>
              </w:rPr>
              <w:t>PCI, SSB time domain location, SSB periodicity and SSB transmission power</w:t>
            </w:r>
            <w:r>
              <w:rPr>
                <w:rFonts w:ascii="Arial" w:hAnsi="Arial" w:eastAsia="Times New Roman" w:cs="Arial"/>
                <w:color w:val="FF0000"/>
                <w:sz w:val="18"/>
                <w:szCs w:val="18"/>
              </w:rPr>
              <w:t xml:space="preserve">} </w:t>
            </w:r>
            <w:r>
              <w:rPr>
                <w:rFonts w:ascii="Times New Roman" w:hAnsi="Times New Roman" w:cs="Times New Roman"/>
                <w:szCs w:val="20"/>
              </w:rPr>
              <w:t>for inter-cell beam management measurement and reporting</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zCs w:val="20"/>
              </w:rPr>
            </w:pPr>
            <w:r>
              <w:rPr>
                <w:rFonts w:ascii="Times New Roman" w:hAnsi="Times New Roman" w:cs="Times New Roman"/>
                <w:szCs w:val="20"/>
              </w:rPr>
              <w:t xml:space="preserve">It can be discussed in RAN2 whether a new parameter is needed or the associated legacy parameter (e.g. for beam reporting in CSI framework, </w:t>
            </w:r>
            <w:r>
              <w:rPr>
                <w:rFonts w:ascii="Times New Roman" w:hAnsi="Times New Roman" w:cs="Times New Roman"/>
                <w:color w:val="FF0000"/>
                <w:szCs w:val="20"/>
              </w:rPr>
              <w:t>or SSB info</w:t>
            </w:r>
            <w:r>
              <w:rPr>
                <w:rFonts w:ascii="Times New Roman" w:hAnsi="Times New Roman" w:cs="Times New Roman"/>
                <w:szCs w:val="20"/>
              </w:rPr>
              <w:t>) can be reused</w:t>
            </w: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color w:val="FF0000"/>
                <w:szCs w:val="20"/>
              </w:rPr>
            </w:pPr>
            <w:r>
              <w:rPr>
                <w:color w:val="FF0000"/>
                <w:szCs w:val="20"/>
              </w:rPr>
              <w:t>[</w:t>
            </w:r>
            <w:r>
              <w:rPr>
                <w:rFonts w:ascii="Times New Roman" w:hAnsi="Times New Roman" w:cs="Times New Roman"/>
                <w:szCs w:val="20"/>
              </w:rPr>
              <w:t>QCL-Info_NeighbourCell</w:t>
            </w:r>
            <w:r>
              <w:rPr>
                <w:color w:val="FF0000"/>
                <w:szCs w:val="20"/>
              </w:rPr>
              <w:t>]</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zCs w:val="20"/>
              </w:rPr>
            </w:pPr>
            <w:r>
              <w:rPr>
                <w:rFonts w:ascii="Times New Roman" w:hAnsi="Times New Roman" w:cs="Times New Roman"/>
                <w:color w:val="FF0000"/>
                <w:szCs w:val="20"/>
              </w:rPr>
              <w:t>For associating neigboring cell information with a TCI state.</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zCs w:val="20"/>
              </w:rPr>
            </w:pPr>
            <w:r>
              <w:rPr>
                <w:rFonts w:ascii="Times New Roman" w:hAnsi="Times New Roman" w:cs="Times New Roman"/>
                <w:szCs w:val="20"/>
              </w:rPr>
              <w:t xml:space="preserve">It can be discussed in RAN2 whether a new parameter is needed or the associated legacy parameter (for beam reporting in CSI framework, </w:t>
            </w:r>
            <w:r>
              <w:rPr>
                <w:rFonts w:ascii="Times New Roman" w:hAnsi="Times New Roman" w:cs="Times New Roman"/>
                <w:color w:val="FF0000"/>
                <w:szCs w:val="20"/>
              </w:rPr>
              <w:t>or SSB info</w:t>
            </w:r>
            <w:r>
              <w:rPr>
                <w:rFonts w:ascii="Times New Roman" w:hAnsi="Times New Roman" w:cs="Times New Roman"/>
                <w:szCs w:val="20"/>
              </w:rPr>
              <w:t>) can be reused</w:t>
            </w:r>
          </w:p>
        </w:tc>
      </w:tr>
    </w:tbl>
    <w:p>
      <w:pPr>
        <w:keepNext/>
        <w:keepLines/>
        <w:widowControl w:val="0"/>
        <w:numPr>
          <w:ilvl w:val="1"/>
          <w:numId w:val="7"/>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eastAsia="宋体"/>
          <w:b/>
          <w:bCs/>
          <w:kern w:val="2"/>
          <w:sz w:val="24"/>
          <w:szCs w:val="24"/>
        </w:rPr>
        <w:t>MPE mitigation</w:t>
      </w:r>
    </w:p>
    <w:p>
      <w:pPr>
        <w:overflowPunct w:val="0"/>
        <w:autoSpaceDE w:val="0"/>
        <w:autoSpaceDN w:val="0"/>
        <w:adjustRightInd w:val="0"/>
        <w:spacing w:before="120"/>
        <w:textAlignment w:val="baseline"/>
        <w:rPr>
          <w:rFonts w:eastAsia="微软雅黑"/>
          <w:lang w:val="en-GB"/>
        </w:rPr>
      </w:pPr>
      <w:r>
        <w:rPr>
          <w:rFonts w:eastAsia="微软雅黑"/>
          <w:lang w:val="en-GB"/>
        </w:rPr>
        <w:t>In this subsection, we discuss the unstable RRC parameters for MPE mitigation</w:t>
      </w:r>
    </w:p>
    <w:p>
      <w:pPr>
        <w:pStyle w:val="111"/>
        <w:numPr>
          <w:ilvl w:val="0"/>
          <w:numId w:val="22"/>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 xml:space="preserve">Regarding MPE-Config-FR2-r17, mpe-ProhibitTimer-r17 and mpe-Threshold-r17, we suggest to reuse the </w:t>
      </w:r>
      <w:r>
        <w:rPr>
          <w:rFonts w:hint="eastAsia" w:eastAsia="微软雅黑"/>
          <w:lang w:val="en-US" w:eastAsia="zh-CN"/>
        </w:rPr>
        <w:t xml:space="preserve">current </w:t>
      </w:r>
      <w:r>
        <w:rPr>
          <w:rFonts w:eastAsia="微软雅黑"/>
          <w:lang w:val="en-GB"/>
        </w:rPr>
        <w:t>PHR related parameters, and these three parameters can be removed.</w:t>
      </w:r>
    </w:p>
    <w:p>
      <w:pPr>
        <w:spacing w:before="120"/>
        <w:rPr>
          <w:i/>
        </w:rPr>
      </w:pPr>
      <w:r>
        <w:rPr>
          <w:b/>
          <w:i/>
        </w:rPr>
        <w:t xml:space="preserve">Proposal </w:t>
      </w:r>
      <w:r>
        <w:rPr>
          <w:rFonts w:hint="eastAsia" w:eastAsia="宋体"/>
          <w:b/>
          <w:i/>
          <w:lang w:val="en-US" w:eastAsia="zh-CN"/>
        </w:rPr>
        <w:t>19</w:t>
      </w:r>
      <w:r>
        <w:rPr>
          <w:rFonts w:hint="eastAsia"/>
          <w:b/>
          <w:i/>
        </w:rPr>
        <w:t xml:space="preserve">: </w:t>
      </w:r>
      <w:r>
        <w:rPr>
          <w:i/>
        </w:rPr>
        <w:t>For RRC configuration for MPE mitigation, the following modification is proposed in red</w:t>
      </w:r>
    </w:p>
    <w:tbl>
      <w:tblPr>
        <w:tblStyle w:val="23"/>
        <w:tblW w:w="9209" w:type="dxa"/>
        <w:tblInd w:w="0" w:type="dxa"/>
        <w:tblLayout w:type="fixed"/>
        <w:tblCellMar>
          <w:top w:w="0" w:type="dxa"/>
          <w:left w:w="108" w:type="dxa"/>
          <w:bottom w:w="0" w:type="dxa"/>
          <w:right w:w="108" w:type="dxa"/>
        </w:tblCellMar>
      </w:tblPr>
      <w:tblGrid>
        <w:gridCol w:w="1838"/>
        <w:gridCol w:w="2977"/>
        <w:gridCol w:w="4394"/>
      </w:tblGrid>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strike/>
                <w:color w:val="FF0000"/>
                <w:szCs w:val="20"/>
              </w:rPr>
            </w:pPr>
            <w:r>
              <w:rPr>
                <w:rFonts w:ascii="Times New Roman" w:hAnsi="Times New Roman" w:cs="Times New Roman"/>
                <w:strike/>
                <w:color w:val="FF0000"/>
                <w:szCs w:val="20"/>
              </w:rPr>
              <w:t>MPE-Config-FR2-r17</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strike/>
                <w:color w:val="FF0000"/>
                <w:szCs w:val="20"/>
              </w:rPr>
            </w:pPr>
            <w:r>
              <w:rPr>
                <w:rFonts w:ascii="Times New Roman" w:hAnsi="Times New Roman" w:cs="Times New Roman"/>
                <w:strike/>
                <w:color w:val="FF0000"/>
                <w:szCs w:val="20"/>
              </w:rPr>
              <w:t>This can be in PHR-Config (up to RAN2), including timer, threshold, and N</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strike/>
                <w:color w:val="FF0000"/>
                <w:szCs w:val="20"/>
              </w:rPr>
            </w:pPr>
            <w:r>
              <w:rPr>
                <w:rFonts w:ascii="Times New Roman" w:hAnsi="Times New Roman" w:cs="Times New Roman"/>
                <w:strike/>
                <w:color w:val="FF0000"/>
                <w:szCs w:val="20"/>
              </w:rPr>
              <w:t>It can be discussed in RAN2 whether a new parameter/structutre is needed or the associated legacy parameter/structure for PHR reporting can be directly reused</w:t>
            </w: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strike/>
                <w:color w:val="FF0000"/>
                <w:szCs w:val="20"/>
              </w:rPr>
            </w:pPr>
            <w:r>
              <w:rPr>
                <w:rFonts w:ascii="Times New Roman" w:hAnsi="Times New Roman" w:cs="Times New Roman"/>
                <w:strike/>
                <w:color w:val="FF0000"/>
                <w:szCs w:val="20"/>
              </w:rPr>
              <w:t>mpe-ProhibitTimer-r17</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Value in number of subframes for MPE reporting, as specified in TS 38.321 [3]. Value sf10 corresponds to 10 subframes, and so on. This can be in PHR-Config (up to RAN2)</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It can be discussed in RAN2 whether a new parameter/structutre is needed or the associated legacy parameter/structure for PHR reporting can be directly reused</w:t>
            </w: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strike/>
                <w:color w:val="FF0000"/>
                <w:szCs w:val="20"/>
              </w:rPr>
            </w:pPr>
            <w:r>
              <w:rPr>
                <w:rFonts w:ascii="Times New Roman" w:hAnsi="Times New Roman" w:cs="Times New Roman"/>
                <w:strike/>
                <w:color w:val="FF0000"/>
                <w:szCs w:val="20"/>
              </w:rPr>
              <w:t>mpe-Threshold-r17</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Value of the P-MPR threshold in dB for reporting MPE P-MPR when FR2 is configured, as specified in TS 38.321 [3]. The same value applies for each serving cell (although the associated functionality is performed independently for each cell). This can be in PHR-Config (up to RAN2)</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It can be discussed n RAN2 whether a new parameter/structutre is needed or the associated legacy parameter/structure for PHR reporting can be directly reused</w:t>
            </w:r>
          </w:p>
        </w:tc>
      </w:tr>
    </w:tbl>
    <w:p>
      <w:pPr>
        <w:keepNext/>
        <w:widowControl w:val="0"/>
        <w:numPr>
          <w:ilvl w:val="0"/>
          <w:numId w:val="7"/>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widowControl w:val="0"/>
        <w:snapToGrid w:val="0"/>
        <w:spacing w:before="120" w:after="120" w:afterLines="50" w:line="300" w:lineRule="auto"/>
        <w:jc w:val="both"/>
        <w:rPr>
          <w:rFonts w:eastAsia="微软雅黑"/>
          <w:szCs w:val="20"/>
        </w:rPr>
      </w:pPr>
      <w:r>
        <w:rPr>
          <w:rFonts w:hint="eastAsia" w:eastAsia="微软雅黑"/>
          <w:szCs w:val="20"/>
        </w:rPr>
        <w:t>I</w:t>
      </w:r>
      <w:r>
        <w:rPr>
          <w:rFonts w:eastAsia="微软雅黑"/>
          <w:szCs w:val="20"/>
        </w:rPr>
        <w:t xml:space="preserve">n this contribution, we discuss the </w:t>
      </w:r>
      <w:r>
        <w:rPr>
          <w:rFonts w:eastAsia="微软雅黑"/>
          <w:szCs w:val="20"/>
          <w:lang w:val="en-GB"/>
        </w:rPr>
        <w:t>enhancements on multi-beam operation</w:t>
      </w:r>
      <w:r>
        <w:rPr>
          <w:rFonts w:eastAsia="微软雅黑"/>
          <w:szCs w:val="20"/>
        </w:rPr>
        <w:t xml:space="preserve"> in Rel-17</w:t>
      </w:r>
      <w:r>
        <w:rPr>
          <w:rFonts w:hint="eastAsia" w:eastAsia="微软雅黑"/>
          <w:szCs w:val="20"/>
        </w:rPr>
        <w:t xml:space="preserve"> and RRC parameters for multi-beam operation as well. Proposals are listed as follows.</w:t>
      </w:r>
    </w:p>
    <w:p>
      <w:pPr>
        <w:widowControl w:val="0"/>
        <w:snapToGrid w:val="0"/>
        <w:spacing w:before="120" w:after="120" w:afterLines="50" w:line="300" w:lineRule="auto"/>
        <w:jc w:val="both"/>
        <w:rPr>
          <w:rFonts w:eastAsia="微软雅黑"/>
          <w:szCs w:val="20"/>
          <w:u w:val="single"/>
        </w:rPr>
      </w:pPr>
      <w:r>
        <w:rPr>
          <w:rFonts w:eastAsia="微软雅黑"/>
          <w:szCs w:val="20"/>
          <w:u w:val="single"/>
        </w:rPr>
        <w:t>Unified TCI framework for both DL and UL</w:t>
      </w:r>
    </w:p>
    <w:p>
      <w:pPr>
        <w:snapToGrid w:val="0"/>
        <w:spacing w:before="120" w:after="120" w:afterLines="50" w:line="300" w:lineRule="auto"/>
        <w:jc w:val="both"/>
        <w:rPr>
          <w:rFonts w:ascii="Times" w:hAnsi="Times" w:eastAsia="宋体" w:cs="Times"/>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1</w:t>
      </w:r>
      <w:r>
        <w:rPr>
          <w:rFonts w:eastAsia="微软雅黑"/>
          <w:b/>
          <w:i/>
          <w:szCs w:val="20"/>
          <w:lang w:val="en-GB"/>
        </w:rPr>
        <w:t>:</w:t>
      </w:r>
      <w:r>
        <w:rPr>
          <w:rFonts w:eastAsia="微软雅黑"/>
          <w:iCs/>
          <w:szCs w:val="20"/>
          <w:lang w:val="en-GB"/>
        </w:rPr>
        <w:t xml:space="preserve"> </w:t>
      </w:r>
      <w:r>
        <w:rPr>
          <w:rFonts w:hint="eastAsia" w:eastAsia="微软雅黑"/>
          <w:i/>
          <w:szCs w:val="20"/>
        </w:rPr>
        <w:t>The</w:t>
      </w:r>
      <w:r>
        <w:rPr>
          <w:rFonts w:eastAsia="微软雅黑"/>
          <w:i/>
          <w:szCs w:val="20"/>
        </w:rPr>
        <w:t xml:space="preserve"> maximum number of TCI states</w:t>
      </w:r>
      <w:r>
        <w:rPr>
          <w:rFonts w:hint="eastAsia" w:eastAsia="微软雅黑"/>
          <w:i/>
          <w:szCs w:val="20"/>
        </w:rPr>
        <w:t xml:space="preserve"> </w:t>
      </w:r>
      <w:r>
        <w:rPr>
          <w:rFonts w:eastAsia="微软雅黑"/>
          <w:i/>
          <w:szCs w:val="20"/>
        </w:rPr>
        <w:t xml:space="preserve">(including both DL TCI and UL TCI states) </w:t>
      </w:r>
      <w:r>
        <w:rPr>
          <w:rFonts w:hint="eastAsia" w:eastAsia="微软雅黑"/>
          <w:i/>
          <w:szCs w:val="20"/>
        </w:rPr>
        <w:t>in a TCI state pool</w:t>
      </w:r>
      <w:r>
        <w:rPr>
          <w:rFonts w:eastAsia="微软雅黑"/>
          <w:i/>
          <w:szCs w:val="20"/>
        </w:rPr>
        <w:t xml:space="preserve"> </w:t>
      </w:r>
      <w:r>
        <w:rPr>
          <w:rFonts w:ascii="Times" w:hAnsi="Times" w:eastAsia="宋体" w:cs="Times"/>
          <w:i/>
          <w:iCs/>
          <w:szCs w:val="20"/>
        </w:rPr>
        <w:t>configured</w:t>
      </w:r>
      <w:r>
        <w:rPr>
          <w:rFonts w:eastAsia="微软雅黑"/>
          <w:i/>
          <w:szCs w:val="20"/>
        </w:rPr>
        <w:t xml:space="preserve"> </w:t>
      </w:r>
      <w:r>
        <w:rPr>
          <w:rFonts w:hint="eastAsia" w:eastAsia="微软雅黑"/>
          <w:i/>
          <w:szCs w:val="20"/>
        </w:rPr>
        <w:t xml:space="preserve">with separate DL/UL TCI </w:t>
      </w:r>
      <w:r>
        <w:rPr>
          <w:rFonts w:eastAsia="微软雅黑"/>
          <w:i/>
          <w:szCs w:val="20"/>
        </w:rPr>
        <w:t xml:space="preserve">is </w:t>
      </w:r>
      <w:r>
        <w:rPr>
          <w:rFonts w:hint="eastAsia" w:eastAsia="微软雅黑"/>
          <w:i/>
          <w:szCs w:val="20"/>
        </w:rPr>
        <w:t>128 in Rel-17.</w:t>
      </w:r>
    </w:p>
    <w:p>
      <w:pPr>
        <w:snapToGrid w:val="0"/>
        <w:spacing w:before="60" w:beforeLines="25" w:after="60" w:afterLines="25" w:line="300" w:lineRule="auto"/>
        <w:ind w:left="40"/>
        <w:jc w:val="both"/>
        <w:rPr>
          <w:rFonts w:ascii="Times" w:hAnsi="Times" w:eastAsia="宋体" w:cs="Times"/>
          <w:i/>
          <w:szCs w:val="20"/>
          <w:highlight w:val="cyan"/>
          <w:lang w:val="en-GB"/>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2</w:t>
      </w:r>
      <w:r>
        <w:rPr>
          <w:rFonts w:eastAsia="微软雅黑"/>
          <w:b/>
          <w:i/>
          <w:szCs w:val="20"/>
          <w:lang w:val="en-GB"/>
        </w:rPr>
        <w:t>:</w:t>
      </w:r>
      <w:r>
        <w:rPr>
          <w:rFonts w:eastAsia="微软雅黑"/>
          <w:i/>
          <w:szCs w:val="20"/>
          <w:lang w:val="en-GB"/>
        </w:rPr>
        <w:t xml:space="preserve"> </w:t>
      </w:r>
      <w:r>
        <w:rPr>
          <w:rFonts w:hint="eastAsia" w:eastAsia="宋体"/>
          <w:i/>
        </w:rPr>
        <w:t>CSI-RS for CSI should be allowed to be source RS for DL TCI state in Rel-17.</w:t>
      </w:r>
    </w:p>
    <w:p>
      <w:pPr>
        <w:numPr>
          <w:ilvl w:val="255"/>
          <w:numId w:val="0"/>
        </w:numPr>
        <w:snapToGrid w:val="0"/>
        <w:spacing w:before="60" w:beforeLines="25" w:after="60" w:afterLines="25" w:line="300" w:lineRule="auto"/>
        <w:ind w:left="40"/>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3</w:t>
      </w:r>
      <w:r>
        <w:rPr>
          <w:rFonts w:eastAsia="微软雅黑"/>
          <w:b/>
          <w:i/>
          <w:szCs w:val="20"/>
          <w:lang w:val="en-GB"/>
        </w:rPr>
        <w:t>:</w:t>
      </w:r>
      <w:r>
        <w:rPr>
          <w:rFonts w:eastAsia="微软雅黑"/>
          <w:i/>
          <w:szCs w:val="20"/>
          <w:lang w:val="en-GB"/>
        </w:rPr>
        <w:t xml:space="preserve"> </w:t>
      </w:r>
      <w:r>
        <w:rPr>
          <w:rFonts w:hint="eastAsia" w:eastAsia="微软雅黑"/>
          <w:i/>
          <w:szCs w:val="20"/>
          <w:lang w:val="en-GB"/>
        </w:rPr>
        <w:t>MAC-CE based update for the closed loop index associated with UL or (if applicable) joint TCI state</w:t>
      </w:r>
      <w:r>
        <w:rPr>
          <w:rFonts w:hint="eastAsia" w:eastAsia="微软雅黑"/>
          <w:i/>
          <w:szCs w:val="20"/>
        </w:rPr>
        <w:t xml:space="preserve"> should be supported</w:t>
      </w:r>
      <w:r>
        <w:rPr>
          <w:rFonts w:hint="eastAsia" w:eastAsia="宋体"/>
          <w:i/>
        </w:rPr>
        <w:t>.</w:t>
      </w:r>
    </w:p>
    <w:p>
      <w:pPr>
        <w:pStyle w:val="99"/>
        <w:snapToGrid w:val="0"/>
        <w:spacing w:before="60" w:beforeLines="25" w:after="60" w:afterLines="25" w:line="300" w:lineRule="auto"/>
        <w:ind w:firstLine="0" w:firstLineChars="0"/>
        <w:jc w:val="both"/>
        <w:rPr>
          <w:rFonts w:ascii="Times" w:hAnsi="Times" w:eastAsia="宋体" w:cs="Times"/>
          <w:i/>
          <w:iCs/>
          <w:szCs w:val="20"/>
        </w:rPr>
      </w:pPr>
      <w:r>
        <w:rPr>
          <w:rFonts w:eastAsia="微软雅黑"/>
          <w:b/>
          <w:bCs/>
          <w:i/>
          <w:iCs/>
          <w:szCs w:val="20"/>
        </w:rPr>
        <w:t>Proposal</w:t>
      </w:r>
      <w:r>
        <w:rPr>
          <w:rFonts w:hint="eastAsia" w:eastAsia="微软雅黑"/>
          <w:b/>
          <w:bCs/>
          <w:i/>
          <w:iCs/>
          <w:szCs w:val="20"/>
        </w:rPr>
        <w:t xml:space="preserve"> </w:t>
      </w:r>
      <w:r>
        <w:rPr>
          <w:rFonts w:hint="eastAsia" w:eastAsia="微软雅黑"/>
          <w:b/>
          <w:bCs/>
          <w:i/>
          <w:iCs/>
          <w:szCs w:val="20"/>
          <w:lang w:val="en-US" w:eastAsia="zh-CN"/>
        </w:rPr>
        <w:t>4</w:t>
      </w:r>
      <w:r>
        <w:rPr>
          <w:rFonts w:hint="eastAsia" w:eastAsia="微软雅黑"/>
          <w:i/>
          <w:iCs/>
          <w:szCs w:val="20"/>
        </w:rPr>
        <w:t xml:space="preserve">: </w:t>
      </w:r>
      <w:r>
        <w:rPr>
          <w:rFonts w:ascii="Times" w:hAnsi="Times" w:eastAsia="宋体" w:cs="Times"/>
          <w:i/>
          <w:iCs/>
          <w:szCs w:val="20"/>
        </w:rPr>
        <w:t>Regarding UE capability of “beam alignment”, no more additional event is further introduced except that the PL-RS is identical to the spatial relation RS in the UL or (if applicable) joint TCI state.</w:t>
      </w:r>
    </w:p>
    <w:p>
      <w:pPr>
        <w:pStyle w:val="99"/>
        <w:snapToGrid w:val="0"/>
        <w:spacing w:before="60" w:beforeLines="25" w:after="60" w:afterLines="25" w:line="300" w:lineRule="auto"/>
        <w:ind w:firstLine="0" w:firstLineChars="0"/>
        <w:jc w:val="both"/>
        <w:rPr>
          <w:rFonts w:eastAsia="微软雅黑"/>
          <w:i/>
          <w:iCs/>
          <w:szCs w:val="20"/>
        </w:rPr>
      </w:pPr>
      <w:r>
        <w:rPr>
          <w:rFonts w:hint="eastAsia" w:eastAsia="微软雅黑"/>
          <w:b/>
          <w:bCs/>
          <w:i/>
          <w:iCs/>
          <w:szCs w:val="20"/>
        </w:rPr>
        <w:t>Proposal</w:t>
      </w:r>
      <w:r>
        <w:rPr>
          <w:rFonts w:eastAsia="微软雅黑"/>
          <w:b/>
          <w:bCs/>
          <w:i/>
          <w:iCs/>
          <w:szCs w:val="20"/>
        </w:rPr>
        <w:t xml:space="preserve"> </w:t>
      </w:r>
      <w:r>
        <w:rPr>
          <w:rFonts w:hint="eastAsia" w:eastAsia="微软雅黑"/>
          <w:b/>
          <w:bCs/>
          <w:i/>
          <w:iCs/>
          <w:szCs w:val="20"/>
          <w:lang w:val="en-US" w:eastAsia="zh-CN"/>
        </w:rPr>
        <w:t>5</w:t>
      </w:r>
      <w:r>
        <w:rPr>
          <w:rFonts w:hint="eastAsia" w:eastAsia="微软雅黑"/>
          <w:b/>
          <w:bCs/>
          <w:i/>
          <w:iCs/>
          <w:szCs w:val="20"/>
        </w:rPr>
        <w:t>:</w:t>
      </w:r>
      <w:r>
        <w:rPr>
          <w:rFonts w:eastAsia="微软雅黑"/>
          <w:b/>
          <w:bCs/>
          <w:i/>
          <w:iCs/>
          <w:szCs w:val="20"/>
        </w:rPr>
        <w:t xml:space="preserve"> </w:t>
      </w:r>
      <w:r>
        <w:rPr>
          <w:rFonts w:eastAsia="微软雅黑"/>
          <w:i/>
          <w:iCs/>
          <w:szCs w:val="20"/>
        </w:rPr>
        <w:t xml:space="preserve">Common RRC-level </w:t>
      </w:r>
      <w:r>
        <w:rPr>
          <w:rFonts w:hint="eastAsia" w:eastAsia="微软雅黑"/>
          <w:i/>
          <w:iCs/>
          <w:szCs w:val="20"/>
        </w:rPr>
        <w:t>PL-RS pool</w:t>
      </w:r>
      <w:r>
        <w:rPr>
          <w:rFonts w:eastAsia="微软雅黑"/>
          <w:i/>
          <w:iCs/>
          <w:szCs w:val="20"/>
        </w:rPr>
        <w:t xml:space="preserve"> can be shared with multi-BWP/CC that is analogous to sharing TCI state pool cross multi-BWP/CC.</w:t>
      </w:r>
    </w:p>
    <w:p>
      <w:pPr>
        <w:pStyle w:val="99"/>
        <w:numPr>
          <w:ilvl w:val="0"/>
          <w:numId w:val="15"/>
        </w:numPr>
        <w:snapToGrid w:val="0"/>
        <w:spacing w:before="60" w:beforeLines="25" w:after="60" w:afterLines="25" w:line="300" w:lineRule="auto"/>
        <w:ind w:left="358" w:hanging="358" w:hangingChars="179"/>
        <w:jc w:val="both"/>
        <w:rPr>
          <w:rFonts w:eastAsia="微软雅黑"/>
          <w:i/>
          <w:iCs/>
          <w:szCs w:val="20"/>
        </w:rPr>
      </w:pPr>
      <w:r>
        <w:rPr>
          <w:rFonts w:eastAsia="微软雅黑"/>
          <w:i/>
          <w:iCs/>
          <w:szCs w:val="20"/>
        </w:rPr>
        <w:t>RRC-configured PL-RS pool(s) can be absent in the PUSCH/PUCCH/SRS configuration for each BWP/CC, and replaced with a reference to RRC-configured PL-RS pool(s) in a reference BWP/CC.</w:t>
      </w:r>
    </w:p>
    <w:p>
      <w:pPr>
        <w:widowControl w:val="0"/>
        <w:snapToGrid w:val="0"/>
        <w:spacing w:before="120" w:after="120" w:afterLines="50" w:line="300" w:lineRule="auto"/>
        <w:jc w:val="both"/>
        <w:rPr>
          <w:rFonts w:eastAsia="微软雅黑"/>
          <w:szCs w:val="20"/>
          <w:u w:val="single"/>
        </w:rPr>
      </w:pPr>
    </w:p>
    <w:p>
      <w:pPr>
        <w:widowControl w:val="0"/>
        <w:snapToGrid w:val="0"/>
        <w:spacing w:before="120" w:after="120" w:afterLines="50" w:line="300" w:lineRule="auto"/>
        <w:jc w:val="both"/>
        <w:rPr>
          <w:rFonts w:hint="eastAsia" w:eastAsia="微软雅黑"/>
          <w:szCs w:val="20"/>
          <w:u w:val="single"/>
        </w:rPr>
      </w:pPr>
      <w:r>
        <w:rPr>
          <w:rFonts w:hint="eastAsia" w:eastAsia="微软雅黑"/>
          <w:szCs w:val="20"/>
          <w:u w:val="single"/>
        </w:rPr>
        <w:t>Signaling design for DCI based TCI state indication</w:t>
      </w:r>
    </w:p>
    <w:p>
      <w:pPr>
        <w:snapToGrid w:val="0"/>
        <w:spacing w:before="120" w:after="120" w:afterLines="50" w:line="300" w:lineRule="auto"/>
        <w:jc w:val="both"/>
        <w:rPr>
          <w:rFonts w:eastAsia="微软雅黑"/>
        </w:rPr>
      </w:pPr>
      <w:r>
        <w:rPr>
          <w:rFonts w:hint="eastAsia" w:eastAsia="微软雅黑"/>
          <w:b/>
          <w:bCs/>
          <w:i/>
          <w:iCs/>
          <w:szCs w:val="20"/>
        </w:rPr>
        <w:t xml:space="preserve">Proposal </w:t>
      </w:r>
      <w:r>
        <w:rPr>
          <w:rFonts w:hint="eastAsia" w:eastAsia="微软雅黑"/>
          <w:b/>
          <w:bCs/>
          <w:i/>
          <w:iCs/>
          <w:szCs w:val="20"/>
          <w:lang w:val="en-US" w:eastAsia="zh-CN"/>
        </w:rPr>
        <w:t>6</w:t>
      </w:r>
      <w:r>
        <w:rPr>
          <w:rFonts w:hint="eastAsia" w:eastAsia="微软雅黑"/>
          <w:b/>
          <w:bCs/>
          <w:i/>
          <w:iCs/>
          <w:szCs w:val="20"/>
        </w:rPr>
        <w:t>:</w:t>
      </w:r>
      <w:r>
        <w:rPr>
          <w:rFonts w:hint="eastAsia" w:eastAsia="微软雅黑"/>
          <w:i/>
          <w:iCs/>
          <w:szCs w:val="20"/>
        </w:rPr>
        <w:t xml:space="preserve"> Regarding TCI indication </w:t>
      </w:r>
      <w:r>
        <w:rPr>
          <w:rFonts w:eastAsia="微软雅黑"/>
          <w:i/>
          <w:iCs/>
          <w:szCs w:val="20"/>
        </w:rPr>
        <w:t xml:space="preserve">by </w:t>
      </w:r>
      <w:r>
        <w:rPr>
          <w:rFonts w:hint="eastAsia" w:eastAsia="微软雅黑"/>
          <w:i/>
          <w:iCs/>
          <w:szCs w:val="20"/>
        </w:rPr>
        <w:t>DCI withou</w:t>
      </w:r>
      <w:r>
        <w:rPr>
          <w:rFonts w:eastAsia="微软雅黑"/>
          <w:i/>
          <w:iCs/>
          <w:szCs w:val="20"/>
        </w:rPr>
        <w:t xml:space="preserve">t </w:t>
      </w:r>
      <w:r>
        <w:rPr>
          <w:rFonts w:hint="eastAsia" w:eastAsia="微软雅黑"/>
          <w:i/>
          <w:iCs/>
          <w:szCs w:val="20"/>
        </w:rPr>
        <w:t>DL assignment,</w:t>
      </w:r>
      <w:r>
        <w:rPr>
          <w:rFonts w:eastAsia="微软雅黑"/>
          <w:i/>
          <w:iCs/>
          <w:szCs w:val="20"/>
        </w:rPr>
        <w:t xml:space="preserve"> for type-1 HARQ-ACK codebook determination,</w:t>
      </w:r>
      <w:r>
        <w:rPr>
          <w:rFonts w:hint="eastAsia" w:eastAsia="微软雅黑"/>
          <w:i/>
          <w:iCs/>
          <w:szCs w:val="20"/>
        </w:rPr>
        <w:t xml:space="preserve"> </w:t>
      </w:r>
      <w:r>
        <w:rPr>
          <w:rFonts w:eastAsia="微软雅黑"/>
          <w:i/>
          <w:iCs/>
          <w:szCs w:val="20"/>
        </w:rPr>
        <w:t>virtual PDSCH is assumed in the same slot of the DCI by UE.</w:t>
      </w:r>
      <w:r>
        <w:rPr>
          <w:rFonts w:hint="eastAsia" w:eastAsia="微软雅黑"/>
          <w:i/>
          <w:iCs/>
          <w:szCs w:val="20"/>
        </w:rPr>
        <w:t xml:space="preserve"> </w:t>
      </w:r>
    </w:p>
    <w:p>
      <w:pPr>
        <w:snapToGrid w:val="0"/>
        <w:spacing w:before="120" w:after="120" w:afterLines="50" w:line="300" w:lineRule="auto"/>
        <w:jc w:val="both"/>
        <w:rPr>
          <w:rFonts w:eastAsia="微软雅黑"/>
          <w:i/>
          <w:iCs/>
          <w:szCs w:val="20"/>
        </w:rPr>
      </w:pPr>
      <w:r>
        <w:rPr>
          <w:rFonts w:eastAsia="微软雅黑"/>
          <w:b/>
          <w:bCs/>
          <w:i/>
          <w:iCs/>
          <w:szCs w:val="20"/>
        </w:rPr>
        <w:t xml:space="preserve">Proposal </w:t>
      </w:r>
      <w:r>
        <w:rPr>
          <w:rFonts w:hint="eastAsia" w:eastAsia="微软雅黑"/>
          <w:b/>
          <w:bCs/>
          <w:i/>
          <w:iCs/>
          <w:szCs w:val="20"/>
          <w:lang w:val="en-US" w:eastAsia="zh-CN"/>
        </w:rPr>
        <w:t>7</w:t>
      </w:r>
      <w:r>
        <w:rPr>
          <w:rFonts w:eastAsia="微软雅黑"/>
          <w:b/>
          <w:bCs/>
          <w:i/>
          <w:iCs/>
          <w:szCs w:val="20"/>
        </w:rPr>
        <w:t>:</w:t>
      </w:r>
      <w:r>
        <w:rPr>
          <w:rFonts w:eastAsia="微软雅黑"/>
          <w:i/>
          <w:iCs/>
          <w:szCs w:val="20"/>
        </w:rPr>
        <w:t xml:space="preserve"> </w:t>
      </w:r>
      <w:r>
        <w:rPr>
          <w:rFonts w:hint="eastAsia" w:eastAsia="微软雅黑"/>
          <w:i/>
          <w:iCs/>
          <w:szCs w:val="20"/>
        </w:rPr>
        <w:t xml:space="preserve">Regarding PUSCH </w:t>
      </w:r>
      <w:r>
        <w:rPr>
          <w:rFonts w:eastAsia="微软雅黑"/>
          <w:i/>
          <w:iCs/>
          <w:szCs w:val="20"/>
        </w:rPr>
        <w:t>scheduled by DCI format 0_1/2 or with a configured grant</w:t>
      </w:r>
      <w:r>
        <w:rPr>
          <w:rFonts w:hint="eastAsia" w:eastAsia="微软雅黑"/>
          <w:i/>
          <w:iCs/>
          <w:szCs w:val="20"/>
        </w:rPr>
        <w:t xml:space="preserve">, </w:t>
      </w:r>
    </w:p>
    <w:p>
      <w:pPr>
        <w:pStyle w:val="111"/>
        <w:numPr>
          <w:ilvl w:val="0"/>
          <w:numId w:val="15"/>
        </w:numPr>
        <w:overflowPunct w:val="0"/>
        <w:autoSpaceDE w:val="0"/>
        <w:autoSpaceDN w:val="0"/>
        <w:adjustRightInd w:val="0"/>
        <w:snapToGrid w:val="0"/>
        <w:spacing w:before="120" w:beforeLines="50" w:after="120" w:afterLines="50" w:line="300" w:lineRule="auto"/>
        <w:ind w:left="400" w:firstLineChars="0"/>
        <w:jc w:val="both"/>
        <w:textAlignment w:val="baseline"/>
      </w:pPr>
      <w:r>
        <w:rPr>
          <w:rFonts w:eastAsia="微软雅黑"/>
          <w:i/>
          <w:iCs/>
          <w:szCs w:val="20"/>
        </w:rPr>
        <w:t>I</w:t>
      </w:r>
      <w:r>
        <w:rPr>
          <w:rFonts w:hint="eastAsia" w:eastAsia="微软雅黑"/>
          <w:i/>
          <w:iCs/>
          <w:szCs w:val="20"/>
        </w:rPr>
        <w:t xml:space="preserve">f the number of </w:t>
      </w:r>
      <w:r>
        <w:rPr>
          <w:rFonts w:eastAsia="微软雅黑"/>
          <w:i/>
          <w:iCs/>
          <w:szCs w:val="20"/>
        </w:rPr>
        <w:t xml:space="preserve">the corresponding </w:t>
      </w:r>
      <w:r>
        <w:rPr>
          <w:rFonts w:hint="eastAsia" w:eastAsia="微软雅黑"/>
          <w:i/>
          <w:iCs/>
          <w:szCs w:val="20"/>
        </w:rPr>
        <w:t>layer is 1,</w:t>
      </w:r>
      <w:r>
        <w:rPr>
          <w:rFonts w:eastAsia="微软雅黑"/>
          <w:i/>
          <w:iCs/>
          <w:szCs w:val="20"/>
        </w:rPr>
        <w:t xml:space="preserve"> </w:t>
      </w:r>
      <w:r>
        <w:rPr>
          <w:rFonts w:eastAsia="宋体"/>
          <w:i/>
          <w:iCs/>
          <w:szCs w:val="20"/>
        </w:rPr>
        <w:t>the same TCI-update application timeline as for other types of target transmissions, such as PDCCH, PDSCH, PUCCH, etc. are used, regardless of most recent SRS transmission.</w:t>
      </w:r>
    </w:p>
    <w:p>
      <w:pPr>
        <w:snapToGrid w:val="0"/>
        <w:spacing w:before="120" w:after="120" w:afterLines="50" w:line="300" w:lineRule="auto"/>
        <w:jc w:val="both"/>
        <w:rPr>
          <w:rFonts w:eastAsia="微软雅黑"/>
          <w:i/>
          <w:iCs/>
          <w:szCs w:val="20"/>
        </w:rPr>
      </w:pPr>
      <w:r>
        <w:rPr>
          <w:rFonts w:eastAsia="微软雅黑"/>
          <w:b/>
          <w:bCs/>
          <w:i/>
          <w:iCs/>
          <w:szCs w:val="20"/>
        </w:rPr>
        <w:t xml:space="preserve">Proposal </w:t>
      </w:r>
      <w:r>
        <w:rPr>
          <w:rFonts w:hint="eastAsia" w:eastAsia="微软雅黑"/>
          <w:b/>
          <w:bCs/>
          <w:i/>
          <w:iCs/>
          <w:szCs w:val="20"/>
          <w:lang w:val="en-US" w:eastAsia="zh-CN"/>
        </w:rPr>
        <w:t>8</w:t>
      </w:r>
      <w:r>
        <w:rPr>
          <w:rFonts w:eastAsia="微软雅黑"/>
          <w:b/>
          <w:bCs/>
          <w:i/>
          <w:iCs/>
          <w:szCs w:val="20"/>
        </w:rPr>
        <w:t>:</w:t>
      </w:r>
      <w:r>
        <w:rPr>
          <w:rFonts w:eastAsia="微软雅黑"/>
          <w:i/>
          <w:iCs/>
          <w:szCs w:val="20"/>
        </w:rPr>
        <w:t xml:space="preserve"> The associated-CSI-RS of non codebook AP-SRS resource set can be determined according to the indicated Rel-17 joint TCI state.</w:t>
      </w:r>
      <w:r>
        <w:rPr>
          <w:rFonts w:hint="eastAsia" w:eastAsia="微软雅黑"/>
          <w:i/>
          <w:iCs/>
          <w:szCs w:val="20"/>
        </w:rPr>
        <w:t xml:space="preserve"> </w:t>
      </w:r>
    </w:p>
    <w:p>
      <w:pPr>
        <w:widowControl w:val="0"/>
        <w:snapToGrid w:val="0"/>
        <w:spacing w:before="120" w:after="120" w:afterLines="50" w:line="300" w:lineRule="auto"/>
        <w:jc w:val="both"/>
        <w:rPr>
          <w:rFonts w:hint="eastAsia" w:eastAsia="微软雅黑"/>
          <w:szCs w:val="20"/>
          <w:u w:val="single"/>
        </w:rPr>
      </w:pPr>
    </w:p>
    <w:p>
      <w:pPr>
        <w:widowControl w:val="0"/>
        <w:snapToGrid w:val="0"/>
        <w:spacing w:before="120" w:after="120" w:afterLines="50" w:line="300" w:lineRule="auto"/>
        <w:jc w:val="both"/>
        <w:rPr>
          <w:rFonts w:hint="eastAsia" w:eastAsia="微软雅黑"/>
          <w:szCs w:val="20"/>
          <w:u w:val="single"/>
        </w:rPr>
      </w:pPr>
      <w:r>
        <w:rPr>
          <w:rFonts w:hint="eastAsia" w:eastAsia="微软雅黑"/>
          <w:szCs w:val="20"/>
          <w:u w:val="single"/>
        </w:rPr>
        <w:t>L1/L2-centric inter-cell beam management</w:t>
      </w:r>
    </w:p>
    <w:p>
      <w:pPr>
        <w:snapToGrid w:val="0"/>
        <w:spacing w:before="120" w:after="120" w:afterLines="50" w:line="300" w:lineRule="auto"/>
        <w:jc w:val="both"/>
        <w:rPr>
          <w:rFonts w:eastAsia="微软雅黑"/>
          <w:i/>
          <w:iCs/>
          <w:szCs w:val="20"/>
        </w:rPr>
      </w:pPr>
      <w:r>
        <w:rPr>
          <w:rFonts w:eastAsia="微软雅黑"/>
          <w:b/>
          <w:bCs/>
          <w:i/>
          <w:iCs/>
          <w:szCs w:val="20"/>
        </w:rPr>
        <w:t xml:space="preserve">Proposal </w:t>
      </w:r>
      <w:r>
        <w:rPr>
          <w:rFonts w:hint="eastAsia" w:eastAsia="微软雅黑"/>
          <w:b/>
          <w:bCs/>
          <w:i/>
          <w:iCs/>
          <w:szCs w:val="20"/>
          <w:lang w:val="en-US" w:eastAsia="zh-CN"/>
        </w:rPr>
        <w:t>9</w:t>
      </w:r>
      <w:r>
        <w:rPr>
          <w:rFonts w:eastAsia="微软雅黑"/>
          <w:b/>
          <w:bCs/>
          <w:i/>
          <w:iCs/>
          <w:szCs w:val="20"/>
        </w:rPr>
        <w:t>:</w:t>
      </w:r>
      <w:r>
        <w:rPr>
          <w:rFonts w:eastAsia="微软雅黑"/>
          <w:i/>
          <w:iCs/>
          <w:szCs w:val="20"/>
        </w:rPr>
        <w:t xml:space="preserve"> For L1-RSRP measurement for semi-persistent and aperiodic reporting in L1/L2-centric inter-cell mobility and inter-cell mTRP, the measurement of non-serving cell SSB(s) can be activated/deactivated by MAC-CE</w:t>
      </w:r>
    </w:p>
    <w:p>
      <w:pPr>
        <w:pStyle w:val="111"/>
        <w:numPr>
          <w:ilvl w:val="0"/>
          <w:numId w:val="15"/>
        </w:numPr>
        <w:snapToGrid w:val="0"/>
        <w:spacing w:before="120" w:after="120" w:afterLines="50" w:line="300" w:lineRule="auto"/>
        <w:ind w:left="400" w:firstLineChars="0"/>
        <w:jc w:val="both"/>
        <w:rPr>
          <w:rFonts w:eastAsia="微软雅黑"/>
          <w:i/>
          <w:iCs/>
          <w:szCs w:val="20"/>
        </w:rPr>
      </w:pPr>
      <w:r>
        <w:rPr>
          <w:rFonts w:eastAsia="微软雅黑"/>
          <w:i/>
          <w:iCs/>
          <w:szCs w:val="20"/>
        </w:rPr>
        <w:t xml:space="preserve">Regarding semi-persistent </w:t>
      </w:r>
      <w:r>
        <w:rPr>
          <w:rFonts w:hint="eastAsia" w:eastAsia="微软雅黑"/>
          <w:i/>
          <w:iCs/>
          <w:szCs w:val="20"/>
        </w:rPr>
        <w:t>measurement of non-serving cell SSB</w:t>
      </w:r>
      <w:r>
        <w:rPr>
          <w:rFonts w:eastAsia="微软雅黑"/>
          <w:i/>
          <w:iCs/>
          <w:szCs w:val="20"/>
        </w:rPr>
        <w:t>, non-serving cell information (rather than TCI state in the legacy MAC-CE for SP-CSI-RS activation) can be activated by MAC CE for each SSB resource in a RRC configured SSB set.</w:t>
      </w:r>
    </w:p>
    <w:p>
      <w:pPr>
        <w:pStyle w:val="111"/>
        <w:numPr>
          <w:ilvl w:val="0"/>
          <w:numId w:val="15"/>
        </w:numPr>
        <w:snapToGrid w:val="0"/>
        <w:spacing w:before="120" w:after="120" w:afterLines="50" w:line="300" w:lineRule="auto"/>
        <w:ind w:left="400" w:firstLineChars="0"/>
        <w:jc w:val="both"/>
        <w:rPr>
          <w:rFonts w:eastAsia="微软雅黑"/>
          <w:i/>
          <w:iCs/>
          <w:szCs w:val="20"/>
        </w:rPr>
      </w:pPr>
      <w:r>
        <w:rPr>
          <w:rFonts w:eastAsia="微软雅黑"/>
          <w:i/>
          <w:iCs/>
          <w:szCs w:val="20"/>
        </w:rPr>
        <w:t xml:space="preserve">Regarding aperiodic </w:t>
      </w:r>
      <w:r>
        <w:rPr>
          <w:rFonts w:hint="eastAsia" w:eastAsia="微软雅黑"/>
          <w:i/>
          <w:iCs/>
          <w:szCs w:val="20"/>
        </w:rPr>
        <w:t>measurement of non-serving cell SSB</w:t>
      </w:r>
      <w:r>
        <w:rPr>
          <w:rFonts w:eastAsia="微软雅黑"/>
          <w:i/>
          <w:iCs/>
          <w:szCs w:val="20"/>
        </w:rPr>
        <w:t xml:space="preserve">, </w:t>
      </w:r>
      <w:r>
        <w:rPr>
          <w:rFonts w:hint="eastAsia" w:eastAsia="微软雅黑"/>
          <w:i/>
          <w:iCs/>
          <w:szCs w:val="20"/>
        </w:rPr>
        <w:t xml:space="preserve">aperiodic CSI-RS in </w:t>
      </w:r>
      <w:r>
        <w:rPr>
          <w:rFonts w:eastAsia="微软雅黑"/>
          <w:i/>
          <w:iCs/>
          <w:szCs w:val="20"/>
        </w:rPr>
        <w:t>a</w:t>
      </w:r>
      <w:r>
        <w:rPr>
          <w:rFonts w:hint="eastAsia" w:eastAsia="微软雅黑"/>
          <w:i/>
          <w:iCs/>
          <w:szCs w:val="20"/>
        </w:rPr>
        <w:t xml:space="preserve"> trigger state can be </w:t>
      </w:r>
      <w:r>
        <w:rPr>
          <w:rFonts w:eastAsia="微软雅黑"/>
          <w:i/>
          <w:iCs/>
          <w:szCs w:val="20"/>
        </w:rPr>
        <w:t>associated with non-serving cell information in RRC (rather than being configured per aperiodic CSI-RS resource), and then the legacy MAC-CE for activating AP-CSI triggering sate is reused for dynamically enabling the measurement</w:t>
      </w:r>
      <w:r>
        <w:rPr>
          <w:rFonts w:hint="eastAsia" w:eastAsia="微软雅黑"/>
          <w:i/>
          <w:iCs/>
          <w:szCs w:val="20"/>
        </w:rPr>
        <w:t xml:space="preserve"> of non-serving cell SSB</w:t>
      </w:r>
      <w:r>
        <w:rPr>
          <w:rFonts w:eastAsia="微软雅黑"/>
          <w:i/>
          <w:iCs/>
          <w:szCs w:val="20"/>
        </w:rPr>
        <w:t xml:space="preserve">. </w:t>
      </w:r>
    </w:p>
    <w:p>
      <w:pPr>
        <w:pStyle w:val="111"/>
        <w:numPr>
          <w:ilvl w:val="1"/>
          <w:numId w:val="15"/>
        </w:numPr>
        <w:snapToGrid w:val="0"/>
        <w:spacing w:before="120" w:after="120" w:afterLines="50" w:line="300" w:lineRule="auto"/>
        <w:ind w:left="800" w:firstLineChars="0"/>
        <w:jc w:val="both"/>
        <w:rPr>
          <w:rFonts w:eastAsia="微软雅黑"/>
          <w:i/>
          <w:iCs/>
          <w:szCs w:val="20"/>
        </w:rPr>
      </w:pPr>
      <w:r>
        <w:rPr>
          <w:rFonts w:eastAsia="微软雅黑"/>
          <w:i/>
          <w:iCs/>
          <w:szCs w:val="20"/>
        </w:rPr>
        <w:t xml:space="preserve">Note that, compared with Rel-15/16, the legacy MAC-CE should be always used, regardless whether the number of RRC candidate triggering states is greater than the maximum number of candidate </w:t>
      </w:r>
      <w:r>
        <w:rPr>
          <w:rFonts w:hint="eastAsia" w:eastAsia="微软雅黑"/>
          <w:i/>
          <w:iCs/>
          <w:szCs w:val="20"/>
        </w:rPr>
        <w:t>codepoint</w:t>
      </w:r>
      <w:r>
        <w:rPr>
          <w:rFonts w:eastAsia="微软雅黑"/>
          <w:i/>
          <w:iCs/>
          <w:szCs w:val="20"/>
        </w:rPr>
        <w:t>s</w:t>
      </w:r>
      <w:r>
        <w:rPr>
          <w:rFonts w:hint="eastAsia" w:eastAsia="微软雅黑"/>
          <w:i/>
          <w:iCs/>
          <w:szCs w:val="20"/>
        </w:rPr>
        <w:t xml:space="preserve"> of CSI request field</w:t>
      </w:r>
      <w:r>
        <w:rPr>
          <w:rFonts w:eastAsia="微软雅黑"/>
          <w:i/>
          <w:iCs/>
          <w:szCs w:val="20"/>
        </w:rPr>
        <w:t xml:space="preserve"> in DCI.</w:t>
      </w:r>
    </w:p>
    <w:p>
      <w:pPr>
        <w:pStyle w:val="111"/>
        <w:numPr>
          <w:ilvl w:val="0"/>
          <w:numId w:val="15"/>
        </w:numPr>
        <w:snapToGrid w:val="0"/>
        <w:spacing w:before="120" w:after="120" w:afterLines="50" w:line="300" w:lineRule="auto"/>
        <w:ind w:left="400" w:firstLineChars="0"/>
        <w:jc w:val="both"/>
        <w:rPr>
          <w:rFonts w:eastAsia="微软雅黑"/>
          <w:i/>
          <w:iCs/>
          <w:szCs w:val="20"/>
        </w:rPr>
      </w:pPr>
      <w:r>
        <w:rPr>
          <w:rFonts w:eastAsia="微软雅黑"/>
          <w:i/>
          <w:iCs/>
          <w:szCs w:val="20"/>
        </w:rPr>
        <w:t xml:space="preserve">PDSCH rate matching and </w:t>
      </w:r>
      <w:r>
        <w:rPr>
          <w:rFonts w:hint="eastAsia" w:eastAsia="微软雅黑"/>
          <w:i/>
          <w:iCs/>
          <w:szCs w:val="20"/>
        </w:rPr>
        <w:t xml:space="preserve">available </w:t>
      </w:r>
      <w:r>
        <w:rPr>
          <w:rFonts w:eastAsia="微软雅黑"/>
          <w:i/>
          <w:iCs/>
          <w:szCs w:val="20"/>
        </w:rPr>
        <w:t>uplink transmission resources should be determined according to activated SSB of neighboring cell.</w:t>
      </w:r>
    </w:p>
    <w:p>
      <w:pPr>
        <w:pStyle w:val="111"/>
        <w:numPr>
          <w:ilvl w:val="0"/>
          <w:numId w:val="15"/>
        </w:numPr>
        <w:snapToGrid w:val="0"/>
        <w:spacing w:before="120" w:after="120" w:afterLines="50" w:line="300" w:lineRule="auto"/>
        <w:ind w:left="400" w:firstLineChars="0"/>
        <w:jc w:val="both"/>
        <w:rPr>
          <w:rFonts w:eastAsia="微软雅黑"/>
          <w:i/>
          <w:iCs/>
          <w:szCs w:val="20"/>
        </w:rPr>
      </w:pPr>
      <w:r>
        <w:rPr>
          <w:rFonts w:hint="eastAsia" w:eastAsia="微软雅黑"/>
          <w:i/>
          <w:iCs/>
          <w:szCs w:val="20"/>
        </w:rPr>
        <w:t xml:space="preserve">After SSB </w:t>
      </w:r>
      <w:r>
        <w:rPr>
          <w:rFonts w:eastAsia="微软雅黑"/>
          <w:i/>
          <w:iCs/>
          <w:szCs w:val="20"/>
        </w:rPr>
        <w:t>with</w:t>
      </w:r>
      <w:r>
        <w:rPr>
          <w:rFonts w:hint="eastAsia" w:eastAsia="微软雅黑"/>
          <w:i/>
          <w:iCs/>
          <w:szCs w:val="20"/>
        </w:rPr>
        <w:t xml:space="preserve"> </w:t>
      </w:r>
      <w:r>
        <w:rPr>
          <w:rFonts w:eastAsia="微软雅黑"/>
          <w:i/>
          <w:iCs/>
          <w:szCs w:val="20"/>
        </w:rPr>
        <w:t xml:space="preserve">different </w:t>
      </w:r>
      <w:r>
        <w:rPr>
          <w:rFonts w:hint="eastAsia" w:eastAsia="微软雅黑"/>
          <w:i/>
          <w:iCs/>
          <w:szCs w:val="20"/>
        </w:rPr>
        <w:t>PCI</w:t>
      </w:r>
      <w:r>
        <w:rPr>
          <w:rFonts w:eastAsia="微软雅黑"/>
          <w:i/>
          <w:iCs/>
          <w:szCs w:val="20"/>
        </w:rPr>
        <w:t xml:space="preserve"> from serving cell</w:t>
      </w:r>
      <w:r>
        <w:rPr>
          <w:rFonts w:hint="eastAsia" w:eastAsia="微软雅黑"/>
          <w:i/>
          <w:iCs/>
          <w:szCs w:val="20"/>
        </w:rPr>
        <w:t xml:space="preserve"> is activated, the SSB can be measured according to </w:t>
      </w:r>
      <w:r>
        <w:rPr>
          <w:rFonts w:eastAsia="微软雅黑"/>
          <w:i/>
          <w:iCs/>
          <w:szCs w:val="20"/>
        </w:rPr>
        <w:t xml:space="preserve">non-serving cell information (i.e., </w:t>
      </w:r>
      <w:r>
        <w:rPr>
          <w:rFonts w:hint="eastAsia" w:eastAsia="微软雅黑"/>
          <w:i/>
          <w:iCs/>
          <w:szCs w:val="20"/>
        </w:rPr>
        <w:t>SSB time domain pattern and periodicity</w:t>
      </w:r>
      <w:r>
        <w:rPr>
          <w:rFonts w:eastAsia="微软雅黑"/>
          <w:i/>
          <w:iCs/>
          <w:szCs w:val="20"/>
        </w:rPr>
        <w:t xml:space="preserve">) </w:t>
      </w:r>
      <w:r>
        <w:rPr>
          <w:rFonts w:hint="eastAsia" w:eastAsia="微软雅黑"/>
          <w:i/>
          <w:iCs/>
          <w:szCs w:val="20"/>
        </w:rPr>
        <w:t>without restriction of SMTC</w:t>
      </w:r>
      <w:r>
        <w:rPr>
          <w:rFonts w:eastAsia="微软雅黑"/>
          <w:i/>
          <w:iCs/>
          <w:szCs w:val="20"/>
        </w:rPr>
        <w:t>; otherwise, the SSB only can be measured in SMTC</w:t>
      </w:r>
      <w:r>
        <w:rPr>
          <w:rFonts w:hint="eastAsia" w:eastAsia="微软雅黑"/>
          <w:i/>
          <w:iCs/>
          <w:szCs w:val="20"/>
        </w:rPr>
        <w:t>.</w:t>
      </w:r>
    </w:p>
    <w:p>
      <w:pPr>
        <w:pStyle w:val="109"/>
        <w:numPr>
          <w:ilvl w:val="255"/>
          <w:numId w:val="0"/>
        </w:numPr>
        <w:snapToGrid w:val="0"/>
        <w:spacing w:before="120" w:after="120" w:afterLines="50" w:line="300" w:lineRule="auto"/>
        <w:jc w:val="both"/>
        <w:rPr>
          <w:rFonts w:eastAsia="微软雅黑"/>
          <w:i/>
          <w:szCs w:val="20"/>
        </w:rPr>
      </w:pPr>
      <w:r>
        <w:rPr>
          <w:rFonts w:hint="eastAsia"/>
          <w:b/>
          <w:bCs/>
          <w:i/>
          <w:iCs/>
        </w:rPr>
        <w:t xml:space="preserve">Proposal </w:t>
      </w:r>
      <w:r>
        <w:rPr>
          <w:rFonts w:hint="eastAsia" w:eastAsia="宋体"/>
          <w:b/>
          <w:bCs/>
          <w:i/>
          <w:iCs/>
        </w:rPr>
        <w:t>1</w:t>
      </w:r>
      <w:r>
        <w:rPr>
          <w:rFonts w:hint="eastAsia" w:eastAsia="宋体"/>
          <w:b/>
          <w:bCs/>
          <w:i/>
          <w:iCs/>
          <w:lang w:val="en-US" w:eastAsia="zh-CN"/>
        </w:rPr>
        <w:t>0</w:t>
      </w:r>
      <w:r>
        <w:rPr>
          <w:rFonts w:hint="eastAsia"/>
          <w:b/>
          <w:bCs/>
          <w:i/>
          <w:iCs/>
        </w:rPr>
        <w:t>:</w:t>
      </w:r>
      <w:r>
        <w:rPr>
          <w:b/>
          <w:bCs/>
          <w:i/>
          <w:iCs/>
        </w:rPr>
        <w:t xml:space="preserve"> </w:t>
      </w:r>
      <w:r>
        <w:rPr>
          <w:rFonts w:eastAsia="微软雅黑"/>
          <w:i/>
          <w:szCs w:val="20"/>
        </w:rPr>
        <w:t>Support MAC CE based event-driven beam reporting for inter-cell beam management and inter-cell mTRP</w:t>
      </w:r>
      <w:r>
        <w:rPr>
          <w:rFonts w:eastAsia="宋体"/>
          <w:i/>
        </w:rPr>
        <w:t>.</w:t>
      </w:r>
      <w:r>
        <w:rPr>
          <w:rFonts w:hint="eastAsia" w:eastAsia="微软雅黑"/>
          <w:i/>
          <w:szCs w:val="20"/>
        </w:rPr>
        <w:t xml:space="preserve"> </w:t>
      </w:r>
    </w:p>
    <w:p>
      <w:pPr>
        <w:snapToGrid w:val="0"/>
        <w:spacing w:before="60" w:beforeLines="25" w:after="60" w:afterLines="25" w:line="300" w:lineRule="auto"/>
        <w:jc w:val="both"/>
        <w:rPr>
          <w:rFonts w:eastAsia="微软雅黑"/>
          <w:i/>
          <w:iCs/>
          <w:szCs w:val="20"/>
        </w:rPr>
      </w:pPr>
      <w:r>
        <w:rPr>
          <w:rFonts w:hint="eastAsia" w:eastAsia="微软雅黑"/>
          <w:b/>
          <w:bCs/>
          <w:i/>
          <w:iCs/>
          <w:szCs w:val="20"/>
        </w:rPr>
        <w:t>Proposal 1</w:t>
      </w:r>
      <w:r>
        <w:rPr>
          <w:rFonts w:hint="eastAsia" w:eastAsia="微软雅黑"/>
          <w:b/>
          <w:bCs/>
          <w:i/>
          <w:iCs/>
          <w:szCs w:val="20"/>
          <w:lang w:val="en-US" w:eastAsia="zh-CN"/>
        </w:rPr>
        <w:t>1</w:t>
      </w:r>
      <w:r>
        <w:rPr>
          <w:rFonts w:hint="eastAsia" w:eastAsia="微软雅黑"/>
          <w:b/>
          <w:bCs/>
          <w:i/>
          <w:iCs/>
          <w:szCs w:val="20"/>
        </w:rPr>
        <w:t>:</w:t>
      </w:r>
      <w:r>
        <w:rPr>
          <w:rFonts w:eastAsia="微软雅黑"/>
          <w:i/>
          <w:iCs/>
          <w:szCs w:val="20"/>
        </w:rPr>
        <w:t xml:space="preserve"> </w:t>
      </w:r>
      <w:r>
        <w:rPr>
          <w:rFonts w:hint="eastAsia" w:eastAsia="微软雅黑"/>
          <w:i/>
          <w:iCs/>
          <w:szCs w:val="20"/>
        </w:rPr>
        <w:t xml:space="preserve">Serving cell and </w:t>
      </w:r>
      <w:r>
        <w:rPr>
          <w:rFonts w:eastAsia="微软雅黑"/>
          <w:i/>
          <w:iCs/>
          <w:szCs w:val="20"/>
        </w:rPr>
        <w:t>non-serving</w:t>
      </w:r>
      <w:r>
        <w:rPr>
          <w:rFonts w:hint="eastAsia" w:eastAsia="微软雅黑"/>
          <w:i/>
          <w:iCs/>
          <w:szCs w:val="20"/>
        </w:rPr>
        <w:t xml:space="preserve"> cell </w:t>
      </w:r>
      <w:r>
        <w:rPr>
          <w:rFonts w:eastAsia="微软雅黑"/>
          <w:i/>
          <w:iCs/>
          <w:szCs w:val="20"/>
        </w:rPr>
        <w:t xml:space="preserve">can correspond to the same </w:t>
      </w:r>
      <w:r>
        <w:rPr>
          <w:rFonts w:hint="eastAsia" w:eastAsia="微软雅黑"/>
          <w:i/>
          <w:iCs/>
          <w:szCs w:val="20"/>
        </w:rPr>
        <w:t xml:space="preserve">BWP </w:t>
      </w:r>
      <w:r>
        <w:rPr>
          <w:rFonts w:eastAsia="微软雅黑"/>
          <w:i/>
          <w:iCs/>
          <w:szCs w:val="20"/>
        </w:rPr>
        <w:t xml:space="preserve">but can be </w:t>
      </w:r>
      <w:r>
        <w:rPr>
          <w:rFonts w:hint="eastAsia" w:eastAsia="微软雅黑"/>
          <w:i/>
          <w:iCs/>
          <w:szCs w:val="20"/>
        </w:rPr>
        <w:t>associated with different TCI state groups</w:t>
      </w:r>
      <w:r>
        <w:rPr>
          <w:rFonts w:eastAsia="微软雅黑"/>
          <w:i/>
          <w:iCs/>
          <w:szCs w:val="20"/>
        </w:rPr>
        <w:t>,</w:t>
      </w:r>
      <w:r>
        <w:rPr>
          <w:rFonts w:hint="eastAsia" w:eastAsia="微软雅黑"/>
          <w:i/>
          <w:iCs/>
          <w:szCs w:val="20"/>
        </w:rPr>
        <w:t xml:space="preserve"> each of which </w:t>
      </w:r>
      <w:r>
        <w:rPr>
          <w:rFonts w:eastAsia="微软雅黑"/>
          <w:i/>
          <w:iCs/>
          <w:szCs w:val="20"/>
        </w:rPr>
        <w:t>can be</w:t>
      </w:r>
      <w:r>
        <w:rPr>
          <w:rFonts w:hint="eastAsia" w:eastAsia="微软雅黑"/>
          <w:i/>
          <w:iCs/>
          <w:szCs w:val="20"/>
        </w:rPr>
        <w:t xml:space="preserve"> associated with a</w:t>
      </w:r>
      <w:r>
        <w:rPr>
          <w:rFonts w:eastAsia="微软雅黑"/>
          <w:i/>
          <w:iCs/>
          <w:szCs w:val="20"/>
        </w:rPr>
        <w:t xml:space="preserve"> respective parameter </w:t>
      </w:r>
      <w:r>
        <w:rPr>
          <w:rFonts w:hint="eastAsia" w:eastAsia="微软雅黑"/>
          <w:i/>
          <w:iCs/>
          <w:szCs w:val="20"/>
        </w:rPr>
        <w:t>configuration</w:t>
      </w:r>
      <w:r>
        <w:rPr>
          <w:rFonts w:eastAsia="微软雅黑"/>
          <w:i/>
          <w:iCs/>
          <w:szCs w:val="20"/>
        </w:rPr>
        <w:t xml:space="preserve"> (e.g., </w:t>
      </w:r>
      <w:r>
        <w:rPr>
          <w:rFonts w:hint="eastAsia" w:eastAsia="微软雅黑"/>
          <w:i/>
          <w:iCs/>
          <w:szCs w:val="20"/>
        </w:rPr>
        <w:t>additionalPCIInfo</w:t>
      </w:r>
      <w:r>
        <w:rPr>
          <w:rFonts w:eastAsia="微软雅黑"/>
          <w:i/>
          <w:iCs/>
          <w:szCs w:val="20"/>
        </w:rPr>
        <w:t xml:space="preserve">) </w:t>
      </w:r>
      <w:r>
        <w:rPr>
          <w:rFonts w:hint="eastAsia" w:eastAsia="微软雅黑"/>
          <w:i/>
          <w:iCs/>
          <w:szCs w:val="20"/>
        </w:rPr>
        <w:t>including:</w:t>
      </w:r>
      <w:r>
        <w:rPr>
          <w:rFonts w:eastAsia="微软雅黑"/>
          <w:i/>
          <w:iCs/>
          <w:szCs w:val="20"/>
        </w:rPr>
        <w:t xml:space="preserve"> </w:t>
      </w:r>
      <w:r>
        <w:rPr>
          <w:rFonts w:hint="eastAsia" w:eastAsia="微软雅黑"/>
          <w:i/>
          <w:iCs/>
          <w:szCs w:val="20"/>
        </w:rPr>
        <w:t>PCI</w:t>
      </w:r>
      <w:r>
        <w:rPr>
          <w:rFonts w:eastAsia="微软雅黑"/>
          <w:i/>
          <w:iCs/>
          <w:szCs w:val="20"/>
        </w:rPr>
        <w:t>, SSB information</w:t>
      </w:r>
      <w:r>
        <w:rPr>
          <w:rFonts w:hint="eastAsia" w:eastAsia="微软雅黑"/>
          <w:i/>
          <w:iCs/>
          <w:szCs w:val="20"/>
        </w:rPr>
        <w:t>,</w:t>
      </w:r>
      <w:r>
        <w:rPr>
          <w:rFonts w:eastAsia="微软雅黑"/>
          <w:i/>
          <w:iCs/>
          <w:szCs w:val="20"/>
        </w:rPr>
        <w:t xml:space="preserve"> </w:t>
      </w:r>
      <w:r>
        <w:rPr>
          <w:rFonts w:hint="eastAsia" w:eastAsia="微软雅黑"/>
          <w:i/>
          <w:iCs/>
          <w:szCs w:val="20"/>
        </w:rPr>
        <w:t>RNTI, rate mat</w:t>
      </w:r>
      <w:r>
        <w:rPr>
          <w:rFonts w:eastAsia="微软雅黑"/>
          <w:i/>
          <w:iCs/>
          <w:szCs w:val="20"/>
        </w:rPr>
        <w:t>ch</w:t>
      </w:r>
      <w:r>
        <w:rPr>
          <w:rFonts w:hint="eastAsia" w:eastAsia="微软雅黑"/>
          <w:i/>
          <w:iCs/>
          <w:szCs w:val="20"/>
        </w:rPr>
        <w:t xml:space="preserve">ing, power control information </w:t>
      </w:r>
      <w:r>
        <w:rPr>
          <w:rFonts w:eastAsia="微软雅黑"/>
          <w:i/>
          <w:iCs/>
          <w:szCs w:val="20"/>
        </w:rPr>
        <w:t>.</w:t>
      </w:r>
    </w:p>
    <w:p>
      <w:pPr>
        <w:pStyle w:val="109"/>
        <w:numPr>
          <w:ilvl w:val="0"/>
          <w:numId w:val="15"/>
        </w:numPr>
        <w:snapToGrid w:val="0"/>
        <w:spacing w:before="60" w:beforeLines="25" w:after="60" w:afterLines="25" w:line="300" w:lineRule="auto"/>
        <w:ind w:left="400" w:firstLineChars="0"/>
        <w:jc w:val="both"/>
        <w:rPr>
          <w:rFonts w:eastAsia="微软雅黑"/>
          <w:i/>
          <w:szCs w:val="20"/>
        </w:rPr>
      </w:pPr>
      <w:r>
        <w:rPr>
          <w:rFonts w:eastAsia="微软雅黑"/>
          <w:i/>
          <w:szCs w:val="20"/>
        </w:rPr>
        <w:t>The parameter configuration is applied upon the corresponding TCI indication</w:t>
      </w:r>
      <w:r>
        <w:rPr>
          <w:rFonts w:hint="eastAsia" w:eastAsia="微软雅黑"/>
          <w:i/>
          <w:szCs w:val="20"/>
        </w:rPr>
        <w:t xml:space="preserve"> or CORESET pool </w:t>
      </w:r>
      <w:r>
        <w:rPr>
          <w:rFonts w:eastAsia="微软雅黑"/>
          <w:i/>
          <w:szCs w:val="20"/>
        </w:rPr>
        <w:t>index.</w:t>
      </w:r>
    </w:p>
    <w:p>
      <w:pPr>
        <w:pStyle w:val="109"/>
        <w:numPr>
          <w:ilvl w:val="0"/>
          <w:numId w:val="15"/>
        </w:numPr>
        <w:snapToGrid w:val="0"/>
        <w:spacing w:before="60" w:beforeLines="25" w:after="60" w:afterLines="25" w:line="300" w:lineRule="auto"/>
        <w:ind w:left="400" w:firstLineChars="0"/>
        <w:jc w:val="both"/>
        <w:rPr>
          <w:rFonts w:eastAsia="微软雅黑"/>
          <w:i/>
          <w:szCs w:val="20"/>
        </w:rPr>
      </w:pPr>
      <w:r>
        <w:rPr>
          <w:rFonts w:hint="eastAsia" w:eastAsia="微软雅黑"/>
          <w:i/>
          <w:szCs w:val="20"/>
        </w:rPr>
        <w:t xml:space="preserve">The association between configuration of cell and TCI state group (or CORESET pool index) can be done by MAC-CE. </w:t>
      </w:r>
    </w:p>
    <w:p>
      <w:pPr>
        <w:pStyle w:val="109"/>
        <w:numPr>
          <w:ilvl w:val="1"/>
          <w:numId w:val="15"/>
        </w:numPr>
        <w:snapToGrid w:val="0"/>
        <w:spacing w:before="60" w:beforeLines="25" w:after="60" w:afterLines="25" w:line="300" w:lineRule="auto"/>
        <w:ind w:left="800" w:firstLineChars="0"/>
        <w:jc w:val="both"/>
        <w:rPr>
          <w:rFonts w:eastAsia="微软雅黑"/>
          <w:i/>
          <w:szCs w:val="20"/>
        </w:rPr>
      </w:pPr>
      <w:r>
        <w:rPr>
          <w:rFonts w:eastAsia="宋体"/>
          <w:i/>
        </w:rPr>
        <w:t xml:space="preserve">Note: The TCI state group corresponds to </w:t>
      </w:r>
      <w:r>
        <w:rPr>
          <w:rFonts w:hint="eastAsia" w:eastAsia="宋体"/>
          <w:i/>
        </w:rPr>
        <w:t xml:space="preserve">configuration of  PCI of </w:t>
      </w:r>
      <w:r>
        <w:rPr>
          <w:rFonts w:eastAsia="宋体"/>
          <w:i/>
        </w:rPr>
        <w:t>serving cell, if the association is absent</w:t>
      </w:r>
    </w:p>
    <w:p>
      <w:pPr>
        <w:numPr>
          <w:ilvl w:val="-1"/>
          <w:numId w:val="0"/>
        </w:numPr>
        <w:snapToGrid w:val="0"/>
        <w:spacing w:before="60" w:beforeLines="25" w:after="60" w:afterLines="25" w:line="300" w:lineRule="auto"/>
        <w:ind w:left="0" w:firstLine="0" w:firstLineChars="0"/>
        <w:jc w:val="both"/>
        <w:rPr>
          <w:rFonts w:eastAsia="微软雅黑"/>
          <w:i/>
          <w:szCs w:val="20"/>
        </w:rPr>
      </w:pPr>
      <w:r>
        <w:rPr>
          <w:rFonts w:hint="eastAsia" w:eastAsia="微软雅黑"/>
          <w:b/>
          <w:bCs/>
          <w:i/>
          <w:iCs/>
          <w:szCs w:val="20"/>
        </w:rPr>
        <w:t>Proposal 1</w:t>
      </w:r>
      <w:r>
        <w:rPr>
          <w:rFonts w:hint="eastAsia" w:eastAsia="微软雅黑"/>
          <w:b/>
          <w:bCs/>
          <w:i/>
          <w:iCs/>
          <w:szCs w:val="20"/>
          <w:lang w:val="en-US" w:eastAsia="zh-CN"/>
        </w:rPr>
        <w:t>2</w:t>
      </w:r>
      <w:r>
        <w:rPr>
          <w:rFonts w:hint="eastAsia" w:eastAsia="微软雅黑"/>
          <w:b/>
          <w:bCs/>
          <w:i/>
          <w:iCs/>
          <w:szCs w:val="20"/>
        </w:rPr>
        <w:t>:</w:t>
      </w:r>
      <w:r>
        <w:rPr>
          <w:rFonts w:eastAsia="微软雅黑"/>
          <w:i/>
          <w:iCs/>
          <w:szCs w:val="20"/>
        </w:rPr>
        <w:t xml:space="preserve"> Further study the co-existence between Rel-15/16 default beam determination scheme and Rel-17 unified TCI scheme in the inter-cell beam management.</w:t>
      </w:r>
      <w:r>
        <w:rPr>
          <w:rFonts w:eastAsia="宋体"/>
        </w:rPr>
        <w:t xml:space="preserve"> </w:t>
      </w:r>
    </w:p>
    <w:p>
      <w:pPr>
        <w:widowControl w:val="0"/>
        <w:snapToGrid w:val="0"/>
        <w:spacing w:before="120" w:after="120" w:afterLines="50" w:line="300" w:lineRule="auto"/>
        <w:jc w:val="both"/>
        <w:rPr>
          <w:rFonts w:hint="eastAsia" w:eastAsia="微软雅黑"/>
          <w:szCs w:val="20"/>
          <w:u w:val="single"/>
        </w:rPr>
      </w:pPr>
    </w:p>
    <w:p>
      <w:pPr>
        <w:widowControl w:val="0"/>
        <w:snapToGrid w:val="0"/>
        <w:spacing w:before="120" w:after="120" w:afterLines="50" w:line="300" w:lineRule="auto"/>
        <w:jc w:val="both"/>
        <w:rPr>
          <w:rFonts w:hint="eastAsia" w:eastAsia="微软雅黑"/>
          <w:szCs w:val="20"/>
          <w:u w:val="single"/>
        </w:rPr>
      </w:pPr>
      <w:r>
        <w:rPr>
          <w:rFonts w:hint="eastAsia" w:eastAsia="微软雅黑"/>
          <w:szCs w:val="20"/>
          <w:u w:val="single"/>
        </w:rPr>
        <w:t>UL beam selection for UE with multiple panels and MPE</w:t>
      </w:r>
    </w:p>
    <w:p>
      <w:pPr>
        <w:snapToGrid w:val="0"/>
        <w:spacing w:before="60" w:beforeLines="25" w:after="60" w:afterLines="25" w:line="300" w:lineRule="auto"/>
        <w:jc w:val="both"/>
        <w:rPr>
          <w:rFonts w:eastAsia="微软雅黑"/>
          <w:b/>
          <w:i/>
          <w:szCs w:val="20"/>
        </w:rPr>
      </w:pPr>
      <w:r>
        <w:rPr>
          <w:rFonts w:eastAsia="微软雅黑"/>
          <w:b/>
          <w:i/>
          <w:szCs w:val="20"/>
        </w:rPr>
        <w:t>Proposal 1</w:t>
      </w:r>
      <w:r>
        <w:rPr>
          <w:rFonts w:hint="eastAsia" w:eastAsia="微软雅黑"/>
          <w:b/>
          <w:i/>
          <w:szCs w:val="20"/>
          <w:lang w:val="en-US" w:eastAsia="zh-CN"/>
        </w:rPr>
        <w:t>3</w:t>
      </w:r>
      <w:r>
        <w:rPr>
          <w:rFonts w:eastAsia="微软雅黑"/>
          <w:b/>
          <w:i/>
          <w:szCs w:val="20"/>
        </w:rPr>
        <w:t>:</w:t>
      </w:r>
      <w:r>
        <w:rPr>
          <w:rFonts w:hint="eastAsia" w:eastAsia="微软雅黑"/>
          <w:b/>
          <w:i/>
          <w:szCs w:val="20"/>
        </w:rPr>
        <w:t xml:space="preserve"> </w:t>
      </w:r>
      <w:r>
        <w:rPr>
          <w:rFonts w:eastAsia="微软雅黑"/>
          <w:i/>
          <w:szCs w:val="20"/>
        </w:rPr>
        <w:t>On Rel</w:t>
      </w:r>
      <w:r>
        <w:rPr>
          <w:rFonts w:hint="eastAsia" w:eastAsia="微软雅黑"/>
          <w:i/>
          <w:szCs w:val="20"/>
        </w:rPr>
        <w:t>-</w:t>
      </w:r>
      <w:r>
        <w:rPr>
          <w:rFonts w:eastAsia="微软雅黑"/>
          <w:i/>
          <w:szCs w:val="20"/>
        </w:rPr>
        <w:t>17 enhancements to facilitate UE-initiated panel activation and selection</w:t>
      </w:r>
      <w:r>
        <w:rPr>
          <w:rFonts w:hint="eastAsia" w:eastAsia="微软雅黑"/>
          <w:i/>
          <w:szCs w:val="20"/>
        </w:rPr>
        <w:t>,</w:t>
      </w:r>
      <w:r>
        <w:rPr>
          <w:rFonts w:eastAsia="微软雅黑"/>
          <w:b/>
          <w:i/>
          <w:szCs w:val="20"/>
        </w:rPr>
        <w:t xml:space="preserve"> </w:t>
      </w:r>
    </w:p>
    <w:p>
      <w:pPr>
        <w:pStyle w:val="109"/>
        <w:numPr>
          <w:ilvl w:val="0"/>
          <w:numId w:val="15"/>
        </w:numPr>
        <w:snapToGrid w:val="0"/>
        <w:spacing w:before="60" w:beforeLines="25" w:after="60" w:afterLines="25" w:line="300" w:lineRule="auto"/>
        <w:ind w:left="400" w:firstLineChars="0"/>
        <w:jc w:val="both"/>
        <w:rPr>
          <w:rFonts w:eastAsia="微软雅黑"/>
          <w:i/>
          <w:szCs w:val="20"/>
        </w:rPr>
      </w:pPr>
      <w:r>
        <w:rPr>
          <w:rFonts w:eastAsia="微软雅黑"/>
          <w:i/>
          <w:szCs w:val="20"/>
        </w:rPr>
        <w:t>Support UE reporting of the supported number of UE panel entities, and supported UL ranks (number of UL transmission layers) and supported number of SRS antenna ports per UE panel entity, as a UE capability.</w:t>
      </w:r>
    </w:p>
    <w:p>
      <w:pPr>
        <w:pStyle w:val="109"/>
        <w:numPr>
          <w:ilvl w:val="0"/>
          <w:numId w:val="15"/>
        </w:numPr>
        <w:snapToGrid w:val="0"/>
        <w:spacing w:before="60" w:beforeLines="25" w:after="60" w:afterLines="25" w:line="300" w:lineRule="auto"/>
        <w:ind w:left="400" w:firstLineChars="0"/>
        <w:jc w:val="both"/>
        <w:rPr>
          <w:rFonts w:eastAsia="微软雅黑"/>
          <w:i/>
          <w:szCs w:val="20"/>
        </w:rPr>
      </w:pPr>
      <w:r>
        <w:rPr>
          <w:rFonts w:eastAsia="微软雅黑"/>
          <w:i/>
          <w:szCs w:val="20"/>
        </w:rPr>
        <w:t>NW can configure respective transmission mode indexes to be associated with different UE panel entities, or different combination of the number of UL ranks and number of SRS antenna ports based on above UE capability report.</w:t>
      </w:r>
    </w:p>
    <w:p>
      <w:pPr>
        <w:pStyle w:val="109"/>
        <w:numPr>
          <w:ilvl w:val="0"/>
          <w:numId w:val="15"/>
        </w:numPr>
        <w:snapToGrid w:val="0"/>
        <w:spacing w:before="60" w:beforeLines="25" w:after="60" w:afterLines="25" w:line="300" w:lineRule="auto"/>
        <w:ind w:left="400" w:firstLineChars="0"/>
        <w:jc w:val="both"/>
        <w:rPr>
          <w:rFonts w:eastAsia="微软雅黑"/>
          <w:i/>
          <w:szCs w:val="20"/>
        </w:rPr>
      </w:pPr>
      <w:r>
        <w:rPr>
          <w:rFonts w:eastAsia="微软雅黑"/>
          <w:i/>
          <w:szCs w:val="20"/>
        </w:rPr>
        <w:t>In the report instance, the UE reports SSBRI/CRI and the corresponding transmission mode index</w:t>
      </w:r>
    </w:p>
    <w:p>
      <w:pPr>
        <w:pStyle w:val="111"/>
        <w:numPr>
          <w:ilvl w:val="1"/>
          <w:numId w:val="15"/>
        </w:numPr>
        <w:snapToGrid w:val="0"/>
        <w:spacing w:before="60" w:beforeLines="25" w:after="120" w:afterLines="50" w:line="300" w:lineRule="auto"/>
        <w:ind w:left="851" w:hanging="360" w:firstLineChars="0"/>
        <w:jc w:val="both"/>
        <w:rPr>
          <w:rFonts w:eastAsia="微软雅黑"/>
          <w:i/>
          <w:szCs w:val="20"/>
        </w:rPr>
      </w:pPr>
      <w:r>
        <w:rPr>
          <w:rFonts w:eastAsia="微软雅黑"/>
          <w:i/>
          <w:szCs w:val="20"/>
        </w:rPr>
        <w:t>The above results in beam report or MAC-CE are applied X symbols after receiving gNB acknowledge for the report.</w:t>
      </w:r>
    </w:p>
    <w:p>
      <w:pPr>
        <w:pStyle w:val="111"/>
        <w:numPr>
          <w:ilvl w:val="1"/>
          <w:numId w:val="15"/>
        </w:numPr>
        <w:snapToGrid w:val="0"/>
        <w:spacing w:before="60" w:beforeLines="25" w:after="120" w:afterLines="50" w:line="300" w:lineRule="auto"/>
        <w:ind w:left="851" w:hanging="360" w:firstLineChars="0"/>
        <w:jc w:val="both"/>
        <w:rPr>
          <w:rFonts w:eastAsia="微软雅黑"/>
          <w:i/>
          <w:szCs w:val="20"/>
        </w:rPr>
      </w:pPr>
      <w:r>
        <w:rPr>
          <w:rFonts w:eastAsia="微软雅黑"/>
          <w:i/>
          <w:szCs w:val="20"/>
        </w:rPr>
        <w:t>FFS: Report format, e.g., beam report or MAC-CE, and mechanism of gNB acknowledge.</w:t>
      </w:r>
    </w:p>
    <w:p>
      <w:pPr>
        <w:pStyle w:val="109"/>
        <w:numPr>
          <w:ilvl w:val="0"/>
          <w:numId w:val="15"/>
        </w:numPr>
        <w:snapToGrid w:val="0"/>
        <w:spacing w:before="60" w:beforeLines="25" w:after="60" w:afterLines="25" w:line="300" w:lineRule="auto"/>
        <w:ind w:left="400" w:hanging="420" w:firstLineChars="0"/>
        <w:jc w:val="both"/>
        <w:rPr>
          <w:rFonts w:ascii="Times" w:hAnsi="Times" w:eastAsia="Times New Roman" w:cs="Times"/>
          <w:i/>
          <w:lang w:val="en-GB" w:eastAsia="en-US"/>
        </w:rPr>
      </w:pPr>
      <w:r>
        <w:rPr>
          <w:rFonts w:ascii="Times" w:hAnsi="Times" w:eastAsia="Times New Roman" w:cs="Times"/>
          <w:i/>
          <w:lang w:val="en-GB" w:eastAsia="en-US"/>
        </w:rPr>
        <w:t xml:space="preserve">Support </w:t>
      </w:r>
      <w:r>
        <w:rPr>
          <w:rFonts w:ascii="Times" w:hAnsi="Times" w:eastAsia="微软雅黑" w:cs="Times"/>
          <w:i/>
          <w:szCs w:val="20"/>
          <w:lang w:val="en-GB" w:eastAsia="en-US"/>
        </w:rPr>
        <w:t>multiple</w:t>
      </w:r>
      <w:r>
        <w:rPr>
          <w:rFonts w:ascii="Times" w:hAnsi="Times" w:eastAsia="Times New Roman" w:cs="Times"/>
          <w:i/>
          <w:lang w:val="en-GB" w:eastAsia="en-US"/>
        </w:rPr>
        <w:t xml:space="preserve"> codebook-based SRS resource sets with different number of SRS antenna ports</w:t>
      </w:r>
    </w:p>
    <w:p>
      <w:pPr>
        <w:pStyle w:val="111"/>
        <w:numPr>
          <w:ilvl w:val="1"/>
          <w:numId w:val="15"/>
        </w:numPr>
        <w:snapToGrid w:val="0"/>
        <w:spacing w:before="60" w:beforeLines="25" w:after="120" w:afterLines="50" w:line="300" w:lineRule="auto"/>
        <w:ind w:left="851" w:hanging="360" w:firstLineChars="0"/>
        <w:jc w:val="both"/>
      </w:pPr>
      <w:r>
        <w:rPr>
          <w:rFonts w:ascii="Times" w:hAnsi="Times" w:eastAsia="Times New Roman" w:cs="Times"/>
          <w:i/>
          <w:lang w:val="en-GB" w:eastAsia="en-US"/>
        </w:rPr>
        <w:t xml:space="preserve">The indicated </w:t>
      </w:r>
      <w:r>
        <w:rPr>
          <w:rFonts w:ascii="Times" w:hAnsi="Times" w:eastAsia="微软雅黑" w:cs="Times"/>
          <w:i/>
          <w:szCs w:val="20"/>
          <w:lang w:val="en-GB" w:eastAsia="en-US"/>
        </w:rPr>
        <w:t>SRI</w:t>
      </w:r>
      <w:r>
        <w:rPr>
          <w:rFonts w:ascii="Times" w:hAnsi="Times" w:eastAsia="Times New Roman" w:cs="Times"/>
          <w:i/>
          <w:lang w:val="en-GB" w:eastAsia="en-US"/>
        </w:rPr>
        <w:t xml:space="preserve"> is based on the SRS resources corresponding to one SRS resource set, where the SRS resource set should be aligned with the UE reported info corresponding to the transmission mode index</w:t>
      </w:r>
    </w:p>
    <w:p>
      <w:pPr>
        <w:widowControl w:val="0"/>
        <w:snapToGrid w:val="0"/>
        <w:spacing w:before="60" w:beforeLines="25" w:after="120" w:afterLines="50" w:line="300" w:lineRule="auto"/>
        <w:jc w:val="both"/>
        <w:rPr>
          <w:i/>
          <w:szCs w:val="20"/>
        </w:rPr>
      </w:pPr>
      <w:r>
        <w:rPr>
          <w:rFonts w:eastAsia="微软雅黑"/>
          <w:b/>
          <w:i/>
          <w:szCs w:val="20"/>
        </w:rPr>
        <w:t>Proposal 1</w:t>
      </w:r>
      <w:r>
        <w:rPr>
          <w:rFonts w:hint="eastAsia" w:eastAsia="微软雅黑"/>
          <w:b/>
          <w:i/>
          <w:szCs w:val="20"/>
          <w:lang w:val="en-US" w:eastAsia="zh-CN"/>
        </w:rPr>
        <w:t>4</w:t>
      </w:r>
      <w:r>
        <w:rPr>
          <w:rFonts w:eastAsia="微软雅黑"/>
          <w:b/>
          <w:i/>
          <w:szCs w:val="20"/>
        </w:rPr>
        <w:t>:</w:t>
      </w:r>
      <w:r>
        <w:rPr>
          <w:rFonts w:hint="eastAsia" w:eastAsia="微软雅黑"/>
          <w:b/>
          <w:i/>
          <w:szCs w:val="20"/>
        </w:rPr>
        <w:t xml:space="preserve"> </w:t>
      </w:r>
      <w:r>
        <w:rPr>
          <w:rFonts w:eastAsia="微软雅黑"/>
          <w:i/>
          <w:szCs w:val="20"/>
        </w:rPr>
        <w:t>On Rel</w:t>
      </w:r>
      <w:r>
        <w:rPr>
          <w:rFonts w:hint="eastAsia" w:eastAsia="微软雅黑"/>
          <w:i/>
          <w:szCs w:val="20"/>
        </w:rPr>
        <w:t>-</w:t>
      </w:r>
      <w:r>
        <w:rPr>
          <w:rFonts w:eastAsia="微软雅黑"/>
          <w:i/>
          <w:szCs w:val="20"/>
        </w:rPr>
        <w:t>17 enhancements to facilitate MPE mitigation</w:t>
      </w:r>
      <w:r>
        <w:rPr>
          <w:rFonts w:hint="eastAsia" w:eastAsia="微软雅黑"/>
          <w:i/>
          <w:szCs w:val="20"/>
        </w:rPr>
        <w:t>,</w:t>
      </w:r>
      <w:r>
        <w:rPr>
          <w:rFonts w:hint="eastAsia" w:eastAsia="宋体"/>
          <w:i/>
          <w:szCs w:val="20"/>
        </w:rPr>
        <w:t xml:space="preserve"> i</w:t>
      </w:r>
      <w:r>
        <w:rPr>
          <w:i/>
          <w:szCs w:val="20"/>
        </w:rPr>
        <w:t>ntroduc</w:t>
      </w:r>
      <w:r>
        <w:rPr>
          <w:rFonts w:hint="eastAsia" w:eastAsia="宋体"/>
          <w:i/>
          <w:szCs w:val="20"/>
        </w:rPr>
        <w:t>e</w:t>
      </w:r>
      <w:r>
        <w:rPr>
          <w:i/>
          <w:szCs w:val="20"/>
        </w:rPr>
        <w:t xml:space="preserve"> modified virtual PHR for each P-MPR value and SSBRI(s)/CRI(s)</w:t>
      </w:r>
      <w:r>
        <w:rPr>
          <w:rFonts w:hint="eastAsia" w:eastAsia="宋体"/>
          <w:i/>
          <w:szCs w:val="20"/>
        </w:rPr>
        <w:t xml:space="preserve"> </w:t>
      </w:r>
    </w:p>
    <w:p>
      <w:pPr>
        <w:pStyle w:val="109"/>
        <w:numPr>
          <w:ilvl w:val="0"/>
          <w:numId w:val="15"/>
        </w:numPr>
        <w:snapToGrid w:val="0"/>
        <w:spacing w:before="60" w:beforeLines="25" w:after="60" w:afterLines="25" w:line="300" w:lineRule="auto"/>
        <w:ind w:left="400" w:firstLineChars="0"/>
        <w:jc w:val="both"/>
        <w:rPr>
          <w:rFonts w:eastAsia="微软雅黑"/>
          <w:i/>
          <w:szCs w:val="20"/>
        </w:rPr>
      </w:pPr>
      <w:r>
        <w:rPr>
          <w:rFonts w:eastAsia="微软雅黑"/>
          <w:i/>
          <w:szCs w:val="20"/>
        </w:rPr>
        <w:t>The Pcmax to calculate the modified virtual PHR takes into account the P-MPR based on MPE impact</w:t>
      </w:r>
    </w:p>
    <w:p>
      <w:pPr>
        <w:pStyle w:val="109"/>
        <w:numPr>
          <w:ilvl w:val="0"/>
          <w:numId w:val="15"/>
        </w:numPr>
        <w:snapToGrid w:val="0"/>
        <w:spacing w:before="60" w:beforeLines="25" w:after="60" w:afterLines="25" w:line="300" w:lineRule="auto"/>
        <w:ind w:left="400" w:firstLineChars="0"/>
        <w:jc w:val="both"/>
        <w:rPr>
          <w:rFonts w:eastAsia="微软雅黑"/>
          <w:i/>
          <w:szCs w:val="20"/>
          <w:lang w:val="en-GB"/>
        </w:rPr>
      </w:pPr>
      <w:r>
        <w:rPr>
          <w:rFonts w:eastAsia="微软雅黑"/>
          <w:i/>
          <w:szCs w:val="20"/>
        </w:rPr>
        <w:t xml:space="preserve">The pathloss to calculate the modified virtual PHR is based on measured L1-RSRP for corresponding SSBRI(s)/CRI(s) </w:t>
      </w:r>
    </w:p>
    <w:p>
      <w:pPr>
        <w:widowControl w:val="0"/>
        <w:snapToGrid w:val="0"/>
        <w:spacing w:before="120" w:after="120" w:afterLines="50" w:line="300" w:lineRule="auto"/>
        <w:jc w:val="both"/>
        <w:rPr>
          <w:rFonts w:hint="eastAsia" w:eastAsia="微软雅黑"/>
          <w:szCs w:val="20"/>
          <w:u w:val="single"/>
        </w:rPr>
      </w:pPr>
    </w:p>
    <w:p>
      <w:pPr>
        <w:widowControl w:val="0"/>
        <w:snapToGrid w:val="0"/>
        <w:spacing w:before="120" w:after="120" w:afterLines="50" w:line="300" w:lineRule="auto"/>
        <w:jc w:val="both"/>
        <w:rPr>
          <w:rFonts w:eastAsia="微软雅黑"/>
          <w:szCs w:val="20"/>
          <w:u w:val="single"/>
        </w:rPr>
      </w:pPr>
      <w:r>
        <w:rPr>
          <w:rFonts w:hint="eastAsia" w:eastAsia="微软雅黑"/>
          <w:szCs w:val="20"/>
          <w:u w:val="single"/>
        </w:rPr>
        <w:t xml:space="preserve">RRC parameters for multi-beam operation </w:t>
      </w:r>
    </w:p>
    <w:p>
      <w:pPr>
        <w:spacing w:before="120"/>
        <w:rPr>
          <w:i/>
        </w:rPr>
      </w:pPr>
      <w:r>
        <w:rPr>
          <w:b/>
          <w:i/>
        </w:rPr>
        <w:t>Proposal 1</w:t>
      </w:r>
      <w:r>
        <w:rPr>
          <w:rFonts w:hint="eastAsia" w:eastAsia="宋体"/>
          <w:b/>
          <w:i/>
          <w:lang w:val="en-US" w:eastAsia="zh-CN"/>
        </w:rPr>
        <w:t>5</w:t>
      </w:r>
      <w:r>
        <w:rPr>
          <w:rFonts w:hint="eastAsia"/>
          <w:b/>
          <w:i/>
        </w:rPr>
        <w:t xml:space="preserve">: </w:t>
      </w:r>
      <w:r>
        <w:rPr>
          <w:i/>
        </w:rPr>
        <w:t>For RRC configuration for unified TCI state, the following modification is proposed in red</w:t>
      </w:r>
    </w:p>
    <w:tbl>
      <w:tblPr>
        <w:tblStyle w:val="23"/>
        <w:tblW w:w="9209" w:type="dxa"/>
        <w:tblInd w:w="0" w:type="dxa"/>
        <w:tblLayout w:type="autofit"/>
        <w:tblCellMar>
          <w:top w:w="0" w:type="dxa"/>
          <w:left w:w="108" w:type="dxa"/>
          <w:bottom w:w="0" w:type="dxa"/>
          <w:right w:w="108" w:type="dxa"/>
        </w:tblCellMar>
      </w:tblPr>
      <w:tblGrid>
        <w:gridCol w:w="1840"/>
        <w:gridCol w:w="3117"/>
        <w:gridCol w:w="4252"/>
      </w:tblGrid>
      <w:tr>
        <w:tblPrEx>
          <w:tblCellMar>
            <w:top w:w="0" w:type="dxa"/>
            <w:left w:w="108" w:type="dxa"/>
            <w:bottom w:w="0" w:type="dxa"/>
            <w:right w:w="108" w:type="dxa"/>
          </w:tblCellMar>
        </w:tblPrEx>
        <w:trPr>
          <w:trHeight w:val="1495"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rPr>
              <w:t>TCI-State_r17</w:t>
            </w:r>
          </w:p>
        </w:tc>
        <w:tc>
          <w:tcPr>
            <w:tcW w:w="311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rPr>
              <w:t>TCI state definition for Rel-17 unified TCI framework along with the components.</w:t>
            </w:r>
            <w:r>
              <w:rPr>
                <w:rFonts w:ascii="Times New Roman" w:hAnsi="Times New Roman" w:eastAsia="Times New Roman" w:cs="Times New Roman"/>
                <w:szCs w:val="20"/>
              </w:rPr>
              <w:br w:type="textWrapping"/>
            </w:r>
            <w:r>
              <w:rPr>
                <w:rFonts w:ascii="Times New Roman" w:hAnsi="Times New Roman" w:eastAsia="Times New Roman" w:cs="Times New Roman"/>
                <w:szCs w:val="20"/>
              </w:rPr>
              <w:t xml:space="preserve">Analogous to Rel-15/16, this includes TCI state ID and QCL Type 1 and 2, </w:t>
            </w:r>
            <w:r>
              <w:rPr>
                <w:rFonts w:ascii="Times New Roman" w:hAnsi="Times New Roman" w:eastAsia="Times New Roman" w:cs="Times New Roman"/>
                <w:strike/>
                <w:color w:val="FF0000"/>
                <w:szCs w:val="20"/>
              </w:rPr>
              <w:t>In addition, it includes TCI state type (note: column P excat structure is up to RAN2)</w:t>
            </w:r>
          </w:p>
        </w:tc>
        <w:tc>
          <w:tcPr>
            <w:tcW w:w="4252" w:type="dxa"/>
            <w:tcBorders>
              <w:top w:val="single" w:color="auto" w:sz="4" w:space="0"/>
              <w:left w:val="nil"/>
              <w:bottom w:val="single" w:color="auto" w:sz="4" w:space="0"/>
              <w:right w:val="single" w:color="auto" w:sz="4" w:space="0"/>
            </w:tcBorders>
          </w:tcPr>
          <w:p>
            <w:pPr>
              <w:spacing w:after="0" w:line="240" w:lineRule="auto"/>
              <w:rPr>
                <w:rFonts w:ascii="Times New Roman" w:hAnsi="Times New Roman" w:eastAsia="Times New Roman" w:cs="Times New Roman"/>
                <w:strike/>
                <w:color w:val="FF0000"/>
                <w:szCs w:val="20"/>
              </w:rPr>
            </w:pPr>
            <w:r>
              <w:rPr>
                <w:rFonts w:ascii="Times New Roman" w:hAnsi="Times New Roman" w:eastAsia="Times New Roman" w:cs="Times New Roman"/>
                <w:strike/>
                <w:color w:val="FF0000"/>
                <w:szCs w:val="20"/>
              </w:rPr>
              <w:t>An additional field for UL spatial relation info may be needed when tci-StateType is 'ULO' (UL TCI only), or this function can be performed with qcl-Type1. It is up to RAN2 to decide.</w:t>
            </w:r>
          </w:p>
          <w:p>
            <w:pPr>
              <w:spacing w:after="0" w:line="240" w:lineRule="auto"/>
              <w:rPr>
                <w:rFonts w:ascii="Times New Roman" w:hAnsi="Times New Roman" w:eastAsia="Times New Roman" w:cs="Times New Roman"/>
                <w:szCs w:val="20"/>
              </w:rPr>
            </w:pPr>
          </w:p>
          <w:p>
            <w:p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rPr>
              <w:t>It can be discussed in RAN2 whether tci-StateType values are needed or not (e.g. whether RAN2 can supersede/build on current RAN1 agreements to combine DL-only and joint TCI into one designation for RRC optimization)</w:t>
            </w:r>
          </w:p>
          <w:p>
            <w:pPr>
              <w:spacing w:after="0" w:line="240" w:lineRule="auto"/>
              <w:rPr>
                <w:rFonts w:ascii="Times New Roman" w:hAnsi="Times New Roman" w:eastAsia="Times New Roman" w:cs="Times New Roman"/>
                <w:szCs w:val="20"/>
              </w:rPr>
            </w:pPr>
          </w:p>
          <w:p>
            <w:pPr>
              <w:spacing w:after="0" w:line="240" w:lineRule="auto"/>
              <w:rPr>
                <w:rFonts w:ascii="Times New Roman" w:hAnsi="Times New Roman" w:eastAsia="Times New Roman" w:cs="Times New Roman"/>
                <w:strike/>
                <w:szCs w:val="20"/>
              </w:rPr>
            </w:pPr>
            <w:r>
              <w:rPr>
                <w:rFonts w:ascii="Times New Roman" w:hAnsi="Times New Roman" w:eastAsia="Times New Roman" w:cs="Times New Roman"/>
                <w:strike/>
                <w:color w:val="FF0000"/>
                <w:szCs w:val="20"/>
              </w:rPr>
              <w:t>It can be discussed in RAN2 whether a separate IE for UL-only TCI is needed (separately from the rest) as a part of RRC and/or MAC CE optimization</w:t>
            </w:r>
          </w:p>
        </w:tc>
      </w:tr>
      <w:tr>
        <w:tblPrEx>
          <w:tblCellMar>
            <w:top w:w="0" w:type="dxa"/>
            <w:left w:w="108" w:type="dxa"/>
            <w:bottom w:w="0" w:type="dxa"/>
            <w:right w:w="108" w:type="dxa"/>
          </w:tblCellMar>
        </w:tblPrEx>
        <w:trPr>
          <w:trHeight w:val="1315"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eastAsia="Times New Roman" w:cs="Times New Roman"/>
                <w:strike/>
                <w:color w:val="FF0000"/>
                <w:szCs w:val="20"/>
              </w:rPr>
              <w:t>tci-StateType</w:t>
            </w:r>
          </w:p>
        </w:tc>
        <w:tc>
          <w:tcPr>
            <w:tcW w:w="311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eastAsia="Times New Roman" w:cs="Times New Roman"/>
                <w:strike/>
                <w:color w:val="FF0000"/>
                <w:szCs w:val="20"/>
              </w:rPr>
              <w:t>Type of TCI state: DL only, or UL only, or Joint DL/UL</w:t>
            </w:r>
          </w:p>
        </w:tc>
        <w:tc>
          <w:tcPr>
            <w:tcW w:w="4252" w:type="dxa"/>
            <w:tcBorders>
              <w:top w:val="single" w:color="auto" w:sz="4" w:space="0"/>
              <w:left w:val="nil"/>
              <w:bottom w:val="single" w:color="auto" w:sz="4" w:space="0"/>
              <w:right w:val="single" w:color="auto" w:sz="4" w:space="0"/>
            </w:tcBorders>
          </w:tcPr>
          <w:p>
            <w:pPr>
              <w:spacing w:after="0" w:line="240" w:lineRule="auto"/>
              <w:rPr>
                <w:rFonts w:ascii="Times New Roman" w:hAnsi="Times New Roman" w:eastAsia="Times New Roman" w:cs="Times New Roman"/>
                <w:strike/>
                <w:color w:val="FF0000"/>
                <w:szCs w:val="20"/>
              </w:rPr>
            </w:pPr>
            <w:r>
              <w:rPr>
                <w:rFonts w:ascii="Times New Roman" w:hAnsi="Times New Roman" w:eastAsia="Times New Roman" w:cs="Times New Roman"/>
                <w:strike/>
                <w:color w:val="FF0000"/>
                <w:szCs w:val="20"/>
              </w:rPr>
              <w:t>It can be discussed in RAN2 whether tci-StateType values are needed or not (e.g. whether RAN2 can supersede/build on current RAN1 agreements to combine DL-only and joint TCI into one designation for RRC optimization)</w:t>
            </w:r>
          </w:p>
        </w:tc>
      </w:tr>
    </w:tbl>
    <w:p>
      <w:pPr>
        <w:spacing w:before="120"/>
        <w:rPr>
          <w:i/>
        </w:rPr>
      </w:pPr>
      <w:r>
        <w:rPr>
          <w:b/>
          <w:i/>
        </w:rPr>
        <w:t xml:space="preserve">Proposal </w:t>
      </w:r>
      <w:r>
        <w:rPr>
          <w:rFonts w:hint="eastAsia" w:eastAsia="宋体"/>
          <w:b/>
          <w:i/>
          <w:lang w:val="en-US" w:eastAsia="zh-CN"/>
        </w:rPr>
        <w:t>16</w:t>
      </w:r>
      <w:r>
        <w:rPr>
          <w:rFonts w:hint="eastAsia"/>
          <w:b/>
          <w:i/>
        </w:rPr>
        <w:t xml:space="preserve">: </w:t>
      </w:r>
      <w:r>
        <w:rPr>
          <w:i/>
        </w:rPr>
        <w:t>For RRC configuration for UL power control, the following modification is proposed in red.</w:t>
      </w:r>
    </w:p>
    <w:tbl>
      <w:tblPr>
        <w:tblStyle w:val="23"/>
        <w:tblW w:w="9209" w:type="dxa"/>
        <w:tblInd w:w="0" w:type="dxa"/>
        <w:tblLayout w:type="autofit"/>
        <w:tblCellMar>
          <w:top w:w="0" w:type="dxa"/>
          <w:left w:w="108" w:type="dxa"/>
          <w:bottom w:w="0" w:type="dxa"/>
          <w:right w:w="108" w:type="dxa"/>
        </w:tblCellMar>
      </w:tblPr>
      <w:tblGrid>
        <w:gridCol w:w="1840"/>
        <w:gridCol w:w="3117"/>
        <w:gridCol w:w="4252"/>
      </w:tblGrid>
      <w:tr>
        <w:tblPrEx>
          <w:tblCellMar>
            <w:top w:w="0" w:type="dxa"/>
            <w:left w:w="108" w:type="dxa"/>
            <w:bottom w:w="0" w:type="dxa"/>
            <w:right w:w="108" w:type="dxa"/>
          </w:tblCellMar>
        </w:tblPrEx>
        <w:trPr>
          <w:trHeight w:val="913"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rPr>
              <w:t>SourceRS-Info_r17-PLRS</w:t>
            </w:r>
          </w:p>
        </w:tc>
        <w:tc>
          <w:tcPr>
            <w:tcW w:w="311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rPr>
              <w:t xml:space="preserve">Source RS </w:t>
            </w:r>
            <w:r>
              <w:rPr>
                <w:rFonts w:ascii="Times New Roman" w:hAnsi="Times New Roman" w:eastAsia="Times New Roman" w:cs="Times New Roman"/>
                <w:strike/>
                <w:color w:val="FF0000"/>
                <w:szCs w:val="20"/>
              </w:rPr>
              <w:t>and QCL Info definition</w:t>
            </w:r>
            <w:r>
              <w:rPr>
                <w:rFonts w:ascii="Times New Roman" w:hAnsi="Times New Roman" w:eastAsia="Times New Roman" w:cs="Times New Roman"/>
                <w:szCs w:val="20"/>
              </w:rPr>
              <w:t xml:space="preserve"> for Rel-17path-loss measurement (PL-RS)</w:t>
            </w:r>
          </w:p>
        </w:tc>
        <w:tc>
          <w:tcPr>
            <w:tcW w:w="4252" w:type="dxa"/>
            <w:tcBorders>
              <w:top w:val="single" w:color="auto" w:sz="4" w:space="0"/>
              <w:left w:val="nil"/>
              <w:bottom w:val="single" w:color="auto" w:sz="4" w:space="0"/>
              <w:right w:val="single" w:color="auto" w:sz="4" w:space="0"/>
            </w:tcBorders>
          </w:tcPr>
          <w:p>
            <w:pPr>
              <w:spacing w:after="0" w:line="240" w:lineRule="auto"/>
              <w:rPr>
                <w:rFonts w:ascii="Times New Roman" w:hAnsi="Times New Roman" w:eastAsia="Times New Roman" w:cs="Times New Roman"/>
                <w:strike w:val="0"/>
                <w:szCs w:val="20"/>
              </w:rPr>
            </w:pPr>
            <w:r>
              <w:rPr>
                <w:rFonts w:ascii="Times New Roman" w:hAnsi="Times New Roman" w:eastAsia="Times New Roman" w:cs="Times New Roman"/>
                <w:strike w:val="0"/>
                <w:color w:val="auto"/>
                <w:szCs w:val="20"/>
              </w:rPr>
              <w:t>Detailed design up to RAN2</w:t>
            </w:r>
          </w:p>
        </w:tc>
      </w:tr>
    </w:tbl>
    <w:p>
      <w:pPr>
        <w:spacing w:before="120"/>
        <w:rPr>
          <w:i/>
        </w:rPr>
      </w:pPr>
      <w:r>
        <w:rPr>
          <w:b/>
          <w:i/>
        </w:rPr>
        <w:t xml:space="preserve">Proposal </w:t>
      </w:r>
      <w:r>
        <w:rPr>
          <w:rFonts w:hint="eastAsia" w:eastAsia="宋体"/>
          <w:b/>
          <w:i/>
          <w:lang w:val="en-US" w:eastAsia="zh-CN"/>
        </w:rPr>
        <w:t>17</w:t>
      </w:r>
      <w:r>
        <w:rPr>
          <w:rFonts w:hint="eastAsia"/>
          <w:b/>
          <w:i/>
        </w:rPr>
        <w:t xml:space="preserve">: </w:t>
      </w:r>
      <w:r>
        <w:rPr>
          <w:i/>
        </w:rPr>
        <w:t>For applicable scope of an indicated TCI state, the following modification is proposed in red.</w:t>
      </w:r>
    </w:p>
    <w:tbl>
      <w:tblPr>
        <w:tblStyle w:val="23"/>
        <w:tblW w:w="9209" w:type="dxa"/>
        <w:tblInd w:w="0" w:type="dxa"/>
        <w:tblLayout w:type="autofit"/>
        <w:tblCellMar>
          <w:top w:w="0" w:type="dxa"/>
          <w:left w:w="108" w:type="dxa"/>
          <w:bottom w:w="0" w:type="dxa"/>
          <w:right w:w="108" w:type="dxa"/>
        </w:tblCellMar>
      </w:tblPr>
      <w:tblGrid>
        <w:gridCol w:w="1840"/>
        <w:gridCol w:w="3117"/>
        <w:gridCol w:w="4252"/>
      </w:tblGrid>
      <w:tr>
        <w:tblPrEx>
          <w:tblCellMar>
            <w:top w:w="0" w:type="dxa"/>
            <w:left w:w="108" w:type="dxa"/>
            <w:bottom w:w="0" w:type="dxa"/>
            <w:right w:w="108" w:type="dxa"/>
          </w:tblCellMar>
        </w:tblPrEx>
        <w:trPr>
          <w:trHeight w:val="913"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eastAsia="Times New Roman"/>
                <w:szCs w:val="20"/>
              </w:rPr>
            </w:pPr>
            <w:r>
              <w:rPr>
                <w:rFonts w:eastAsia="Times New Roman"/>
                <w:szCs w:val="20"/>
              </w:rPr>
              <w:t>TCI-StateIndicationType</w:t>
            </w:r>
          </w:p>
        </w:tc>
        <w:tc>
          <w:tcPr>
            <w:tcW w:w="311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Times New Roman" w:hAnsi="Times New Roman" w:eastAsia="Times New Roman" w:cs="Times New Roman"/>
                <w:szCs w:val="20"/>
              </w:rPr>
            </w:pPr>
            <w:r>
              <w:rPr>
                <w:rFonts w:ascii="Times New Roman" w:hAnsi="Times New Roman" w:cs="Times New Roman"/>
                <w:szCs w:val="20"/>
              </w:rPr>
              <w:t>Type of TCI state INDICATION (agreement on RRC switching)</w:t>
            </w:r>
            <w:r>
              <w:rPr>
                <w:rFonts w:ascii="Times New Roman" w:hAnsi="Times New Roman" w:cs="Times New Roman"/>
                <w:szCs w:val="20"/>
              </w:rPr>
              <w:br w:type="textWrapping"/>
            </w:r>
            <w:r>
              <w:rPr>
                <w:rFonts w:ascii="Times New Roman" w:hAnsi="Times New Roman" w:cs="Times New Roman"/>
                <w:szCs w:val="20"/>
              </w:rPr>
              <w:t>Note: When configured for SeparateTCI, switching among DLO, ULO, and DLO+ULO indication is done via TCI field codepoints in DCI formats 1_1/1_2</w:t>
            </w:r>
          </w:p>
          <w:p>
            <w:pPr>
              <w:spacing w:after="0" w:line="240" w:lineRule="auto"/>
              <w:rPr>
                <w:rFonts w:eastAsia="Times New Roman"/>
                <w:szCs w:val="20"/>
              </w:rPr>
            </w:pPr>
          </w:p>
        </w:tc>
        <w:tc>
          <w:tcPr>
            <w:tcW w:w="4252" w:type="dxa"/>
            <w:tcBorders>
              <w:top w:val="single" w:color="auto" w:sz="4" w:space="0"/>
              <w:left w:val="nil"/>
              <w:bottom w:val="single" w:color="auto" w:sz="4" w:space="0"/>
              <w:right w:val="single" w:color="auto" w:sz="4" w:space="0"/>
            </w:tcBorders>
          </w:tcPr>
          <w:p>
            <w:pPr>
              <w:spacing w:after="0" w:line="240" w:lineRule="auto"/>
              <w:rPr>
                <w:rFonts w:eastAsia="Times New Roman"/>
                <w:szCs w:val="20"/>
              </w:rPr>
            </w:pPr>
            <w:r>
              <w:rPr>
                <w:rFonts w:eastAsia="Times New Roman"/>
                <w:szCs w:val="20"/>
              </w:rPr>
              <w:t>Per agreement, switching between joint and separate TCI is done via RRC. How this is to be used will be further discussed in RAN2, e.g. if/how this changes the interpretation of the MAC CE TCI activation message</w:t>
            </w:r>
          </w:p>
        </w:tc>
      </w:tr>
      <w:tr>
        <w:tblPrEx>
          <w:tblCellMar>
            <w:top w:w="0" w:type="dxa"/>
            <w:left w:w="108" w:type="dxa"/>
            <w:bottom w:w="0" w:type="dxa"/>
            <w:right w:w="108" w:type="dxa"/>
          </w:tblCellMar>
        </w:tblPrEx>
        <w:trPr>
          <w:trHeight w:val="913"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line="240" w:lineRule="auto"/>
              <w:rPr>
                <w:rFonts w:eastAsia="Times New Roman"/>
                <w:szCs w:val="20"/>
              </w:rPr>
            </w:pPr>
            <w:r>
              <w:rPr>
                <w:rFonts w:ascii="Times New Roman" w:hAnsi="Times New Roman" w:cs="Times New Roman"/>
                <w:strike/>
                <w:color w:val="FF0000"/>
                <w:szCs w:val="20"/>
              </w:rPr>
              <w:t>ApplyTCI-State-r17-DLList</w:t>
            </w:r>
            <w:r>
              <w:rPr>
                <w:szCs w:val="20"/>
              </w:rPr>
              <w:t xml:space="preserve"> </w:t>
            </w:r>
            <w:r>
              <w:rPr>
                <w:color w:val="FF0000"/>
                <w:szCs w:val="20"/>
              </w:rPr>
              <w:t>ApplyTCI-State-r17forCSI-RS</w:t>
            </w:r>
          </w:p>
        </w:tc>
        <w:tc>
          <w:tcPr>
            <w:tcW w:w="311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zCs w:val="20"/>
              </w:rPr>
            </w:pPr>
            <w:r>
              <w:rPr>
                <w:rFonts w:eastAsia="Times New Roman"/>
                <w:szCs w:val="20"/>
              </w:rPr>
              <w:t>a list of the resource and/or resource set ID of the RS(s) which share the same indicated Rel-17 TCI state as UE-dedicated reception on PDSCH and for UE-dedicated reception on all or subset of CORESETs in a CC</w:t>
            </w:r>
          </w:p>
        </w:tc>
        <w:tc>
          <w:tcPr>
            <w:tcW w:w="4252" w:type="dxa"/>
            <w:tcBorders>
              <w:top w:val="single" w:color="auto" w:sz="4" w:space="0"/>
              <w:left w:val="nil"/>
              <w:bottom w:val="single" w:color="auto" w:sz="4" w:space="0"/>
              <w:right w:val="single" w:color="auto" w:sz="4" w:space="0"/>
            </w:tcBorders>
          </w:tcPr>
          <w:p>
            <w:pPr>
              <w:spacing w:after="0" w:line="240" w:lineRule="auto"/>
              <w:rPr>
                <w:rFonts w:eastAsia="Times New Roman"/>
                <w:szCs w:val="20"/>
              </w:rPr>
            </w:pPr>
            <w:r>
              <w:rPr>
                <w:rFonts w:eastAsia="Times New Roman"/>
                <w:szCs w:val="20"/>
              </w:rPr>
              <w:t>Candidates include: AP-CSI-RS for BM, AP-CSI-RS for CSI</w:t>
            </w:r>
            <w:r>
              <w:rPr>
                <w:rFonts w:eastAsia="Times New Roman"/>
                <w:strike/>
                <w:color w:val="FF0000"/>
                <w:szCs w:val="20"/>
              </w:rPr>
              <w:t>, DL DMRS for non-UE-dedicated PDCCH/PDSCH from the serving cell, AP-SRS for BM</w:t>
            </w:r>
            <w:r>
              <w:rPr>
                <w:rFonts w:eastAsia="Times New Roman"/>
                <w:szCs w:val="20"/>
              </w:rPr>
              <w:t>.</w:t>
            </w:r>
          </w:p>
          <w:p>
            <w:pPr>
              <w:spacing w:after="0" w:line="240" w:lineRule="auto"/>
              <w:rPr>
                <w:rFonts w:eastAsia="Times New Roman"/>
                <w:szCs w:val="20"/>
              </w:rPr>
            </w:pPr>
            <w:r>
              <w:rPr>
                <w:rFonts w:eastAsia="Times New Roman"/>
                <w:szCs w:val="20"/>
              </w:rPr>
              <w:t>Exact design including whether an explicit RRC parameter is needed or not is up to RAN2.</w:t>
            </w:r>
          </w:p>
        </w:tc>
      </w:tr>
      <w:tr>
        <w:tblPrEx>
          <w:tblCellMar>
            <w:top w:w="0" w:type="dxa"/>
            <w:left w:w="108" w:type="dxa"/>
            <w:bottom w:w="0" w:type="dxa"/>
            <w:right w:w="108" w:type="dxa"/>
          </w:tblCellMar>
        </w:tblPrEx>
        <w:trPr>
          <w:trHeight w:val="913"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line="240" w:lineRule="auto"/>
              <w:rPr>
                <w:rFonts w:eastAsia="Times New Roman"/>
                <w:szCs w:val="20"/>
              </w:rPr>
            </w:pPr>
            <w:r>
              <w:rPr>
                <w:rFonts w:ascii="Times New Roman" w:hAnsi="Times New Roman" w:cs="Times New Roman"/>
                <w:szCs w:val="20"/>
              </w:rPr>
              <w:t>ApplyTCI-State-r17forSRS</w:t>
            </w:r>
          </w:p>
        </w:tc>
        <w:tc>
          <w:tcPr>
            <w:tcW w:w="311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zCs w:val="20"/>
              </w:rPr>
            </w:pPr>
            <w:r>
              <w:rPr>
                <w:rFonts w:eastAsia="Times New Roman"/>
                <w:szCs w:val="20"/>
              </w:rPr>
              <w:t>Whether all SRS resources in resource set(s) configured for antenna switching/codebook-based/non-codebook-based UL transmissions share the same indicated Rel-17 TCI state as UE-dedicated reception on PDSCH and for UE-dedicated reception on all or subset of CORESETs in a CC</w:t>
            </w:r>
          </w:p>
        </w:tc>
        <w:tc>
          <w:tcPr>
            <w:tcW w:w="4252" w:type="dxa"/>
            <w:tcBorders>
              <w:top w:val="single" w:color="auto" w:sz="4" w:space="0"/>
              <w:left w:val="nil"/>
              <w:bottom w:val="single" w:color="auto" w:sz="4" w:space="0"/>
              <w:right w:val="single" w:color="auto" w:sz="4" w:space="0"/>
            </w:tcBorders>
          </w:tcPr>
          <w:p>
            <w:pPr>
              <w:spacing w:after="0" w:line="240" w:lineRule="auto"/>
              <w:rPr>
                <w:rFonts w:eastAsia="Times New Roman"/>
                <w:szCs w:val="20"/>
              </w:rPr>
            </w:pPr>
            <w:r>
              <w:rPr>
                <w:rFonts w:eastAsia="Times New Roman"/>
                <w:szCs w:val="20"/>
              </w:rPr>
              <w:t>Exact design including whether an explicit RRC parameter is needed or not is up to RAN2.</w:t>
            </w:r>
          </w:p>
        </w:tc>
      </w:tr>
    </w:tbl>
    <w:p>
      <w:pPr>
        <w:spacing w:before="120"/>
        <w:rPr>
          <w:i/>
        </w:rPr>
      </w:pPr>
      <w:r>
        <w:rPr>
          <w:b/>
          <w:i/>
        </w:rPr>
        <w:t xml:space="preserve">Proposal </w:t>
      </w:r>
      <w:r>
        <w:rPr>
          <w:rFonts w:hint="eastAsia" w:eastAsia="宋体"/>
          <w:b/>
          <w:i/>
          <w:lang w:val="en-US" w:eastAsia="zh-CN"/>
        </w:rPr>
        <w:t>18</w:t>
      </w:r>
      <w:r>
        <w:rPr>
          <w:rFonts w:hint="eastAsia"/>
          <w:b/>
          <w:i/>
        </w:rPr>
        <w:t xml:space="preserve">: </w:t>
      </w:r>
      <w:r>
        <w:rPr>
          <w:i/>
        </w:rPr>
        <w:t>For inter-cell beam management, the following modification is proposed in red</w:t>
      </w:r>
    </w:p>
    <w:tbl>
      <w:tblPr>
        <w:tblStyle w:val="23"/>
        <w:tblW w:w="9209" w:type="dxa"/>
        <w:tblInd w:w="0" w:type="dxa"/>
        <w:tblLayout w:type="fixed"/>
        <w:tblCellMar>
          <w:top w:w="0" w:type="dxa"/>
          <w:left w:w="108" w:type="dxa"/>
          <w:bottom w:w="0" w:type="dxa"/>
          <w:right w:w="108" w:type="dxa"/>
        </w:tblCellMar>
      </w:tblPr>
      <w:tblGrid>
        <w:gridCol w:w="1838"/>
        <w:gridCol w:w="2977"/>
        <w:gridCol w:w="4394"/>
      </w:tblGrid>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InterCellBeamMetrics</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Number of inter-cell beam management metrics</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It can be discussed in RAN2 whether a new parameter is needed or the associated legacy parameter can be reused. Or if one parameter that includes all UL PC setting (other than PLRS) pars can be used.</w:t>
            </w:r>
            <w:r>
              <w:rPr>
                <w:rFonts w:ascii="Times New Roman" w:hAnsi="Times New Roman" w:cs="Times New Roman"/>
                <w:strike/>
                <w:color w:val="FF0000"/>
                <w:szCs w:val="20"/>
              </w:rPr>
              <w:br w:type="textWrapping"/>
            </w:r>
            <w:r>
              <w:rPr>
                <w:rFonts w:ascii="Times New Roman" w:hAnsi="Times New Roman" w:cs="Times New Roman"/>
                <w:strike/>
                <w:color w:val="FF0000"/>
                <w:szCs w:val="20"/>
              </w:rPr>
              <w:br w:type="textWrapping"/>
            </w:r>
            <w:r>
              <w:rPr>
                <w:rFonts w:ascii="Times New Roman" w:hAnsi="Times New Roman" w:cs="Times New Roman"/>
                <w:strike/>
                <w:color w:val="FF0000"/>
                <w:szCs w:val="20"/>
              </w:rPr>
              <w:t>It was agreed that one setting can (optionally) be associated with an UL or if applicable joint TCI state via RRC. The details are up to RAN2</w:t>
            </w: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InterCellMeasurementRS</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List of measurement RS for inter-cell beam management of type SSB-Index</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It can be discussed whether a new parameter is needed or the associated legacy parameter (for beam reporting in CSI framework) can be reused</w:t>
            </w: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InterCellReportType</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Inter-cell beam management report type</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It can be discussed in RAN2 whether a new parameter is needed or the associated legacy parameter (e.g. for beam reporting in CSI framework, or SSB info) can be reused</w:t>
            </w: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strike/>
                <w:color w:val="FF0000"/>
                <w:szCs w:val="20"/>
              </w:rPr>
            </w:pPr>
            <w:r>
              <w:rPr>
                <w:color w:val="FF0000"/>
              </w:rPr>
              <w:t>SSB-Index_r17</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strike/>
                <w:color w:val="FF0000"/>
                <w:szCs w:val="20"/>
              </w:rPr>
            </w:pPr>
            <w:r>
              <w:rPr>
                <w:rFonts w:ascii="Arial" w:hAnsi="Arial" w:eastAsia="Times New Roman" w:cs="Arial"/>
                <w:color w:val="FF0000"/>
                <w:sz w:val="18"/>
                <w:szCs w:val="18"/>
              </w:rPr>
              <w:t>Containing (</w:t>
            </w:r>
            <w:r>
              <w:rPr>
                <w:rFonts w:eastAsia="微软雅黑"/>
                <w:color w:val="FF0000"/>
                <w:lang w:val="en-GB"/>
              </w:rPr>
              <w:t>interCellAdditionalPCI</w:t>
            </w:r>
            <w:r>
              <w:rPr>
                <w:rFonts w:ascii="Arial" w:hAnsi="Arial" w:eastAsia="Times New Roman" w:cs="Arial"/>
                <w:color w:val="FF0000"/>
                <w:sz w:val="18"/>
                <w:szCs w:val="18"/>
              </w:rPr>
              <w:t>, SSB-index) in CSI-SSB-ResourceSet</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strike/>
                <w:color w:val="FF0000"/>
                <w:szCs w:val="20"/>
              </w:rPr>
            </w:pP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szCs w:val="20"/>
              </w:rPr>
            </w:pPr>
            <w:r>
              <w:rPr>
                <w:rFonts w:ascii="Times New Roman" w:hAnsi="Times New Roman" w:cs="Times New Roman"/>
                <w:szCs w:val="20"/>
              </w:rPr>
              <w:t>InterCellAdditionalPCI</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zCs w:val="20"/>
              </w:rPr>
            </w:pPr>
            <w:r>
              <w:rPr>
                <w:rFonts w:ascii="Times New Roman" w:hAnsi="Times New Roman" w:cs="Times New Roman"/>
                <w:szCs w:val="20"/>
              </w:rPr>
              <w:t xml:space="preserve">Additional </w:t>
            </w:r>
            <w:r>
              <w:rPr>
                <w:rFonts w:ascii="Times New Roman" w:hAnsi="Times New Roman" w:cs="Times New Roman"/>
                <w:strike/>
                <w:color w:val="FF0000"/>
                <w:szCs w:val="20"/>
              </w:rPr>
              <w:t>PCIs</w:t>
            </w:r>
            <w:r>
              <w:rPr>
                <w:rFonts w:ascii="Times New Roman" w:hAnsi="Times New Roman" w:cs="Times New Roman"/>
                <w:strike/>
                <w:szCs w:val="20"/>
              </w:rPr>
              <w:t xml:space="preserve"> </w:t>
            </w:r>
            <w:r>
              <w:rPr>
                <w:rFonts w:ascii="Arial" w:hAnsi="Arial" w:eastAsia="Times New Roman" w:cs="Arial"/>
                <w:color w:val="FF0000"/>
                <w:sz w:val="18"/>
                <w:szCs w:val="18"/>
              </w:rPr>
              <w:t>{</w:t>
            </w:r>
            <w:r>
              <w:rPr>
                <w:rFonts w:eastAsia="微软雅黑"/>
                <w:color w:val="FF0000"/>
                <w:lang w:val="en-GB"/>
              </w:rPr>
              <w:t>PCI, SSB time domain location, SSB periodicity and SSB transmission power</w:t>
            </w:r>
            <w:r>
              <w:rPr>
                <w:rFonts w:ascii="Arial" w:hAnsi="Arial" w:eastAsia="Times New Roman" w:cs="Arial"/>
                <w:color w:val="FF0000"/>
                <w:sz w:val="18"/>
                <w:szCs w:val="18"/>
              </w:rPr>
              <w:t xml:space="preserve">} </w:t>
            </w:r>
            <w:r>
              <w:rPr>
                <w:rFonts w:ascii="Times New Roman" w:hAnsi="Times New Roman" w:cs="Times New Roman"/>
                <w:szCs w:val="20"/>
              </w:rPr>
              <w:t>for inter-cell beam management measurement and reporting</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zCs w:val="20"/>
              </w:rPr>
            </w:pPr>
            <w:r>
              <w:rPr>
                <w:rFonts w:ascii="Times New Roman" w:hAnsi="Times New Roman" w:cs="Times New Roman"/>
                <w:szCs w:val="20"/>
              </w:rPr>
              <w:t xml:space="preserve">It can be discussed in RAN2 whether a new parameter is needed or the associated legacy parameter (e.g. for beam reporting in CSI framework, </w:t>
            </w:r>
            <w:r>
              <w:rPr>
                <w:rFonts w:ascii="Times New Roman" w:hAnsi="Times New Roman" w:cs="Times New Roman"/>
                <w:color w:val="FF0000"/>
                <w:szCs w:val="20"/>
              </w:rPr>
              <w:t>or SSB info</w:t>
            </w:r>
            <w:r>
              <w:rPr>
                <w:rFonts w:ascii="Times New Roman" w:hAnsi="Times New Roman" w:cs="Times New Roman"/>
                <w:szCs w:val="20"/>
              </w:rPr>
              <w:t>) can be reused</w:t>
            </w: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color w:val="FF0000"/>
                <w:szCs w:val="20"/>
              </w:rPr>
            </w:pPr>
            <w:r>
              <w:rPr>
                <w:color w:val="FF0000"/>
                <w:szCs w:val="20"/>
              </w:rPr>
              <w:t>[</w:t>
            </w:r>
            <w:r>
              <w:rPr>
                <w:rFonts w:ascii="Times New Roman" w:hAnsi="Times New Roman" w:cs="Times New Roman"/>
                <w:szCs w:val="20"/>
              </w:rPr>
              <w:t>QCL-Info_NeighbourCell</w:t>
            </w:r>
            <w:r>
              <w:rPr>
                <w:color w:val="FF0000"/>
                <w:szCs w:val="20"/>
              </w:rPr>
              <w:t>]</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zCs w:val="20"/>
              </w:rPr>
            </w:pPr>
            <w:r>
              <w:rPr>
                <w:rFonts w:ascii="Times New Roman" w:hAnsi="Times New Roman" w:cs="Times New Roman"/>
                <w:color w:val="FF0000"/>
                <w:szCs w:val="20"/>
              </w:rPr>
              <w:t>For associating neigboring cell information with a TCI state.</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zCs w:val="20"/>
              </w:rPr>
            </w:pPr>
            <w:r>
              <w:rPr>
                <w:rFonts w:ascii="Times New Roman" w:hAnsi="Times New Roman" w:cs="Times New Roman"/>
                <w:szCs w:val="20"/>
              </w:rPr>
              <w:t xml:space="preserve">It can be discussed in RAN2 whether a new parameter is needed or the associated legacy parameter (for beam reporting in CSI framework, </w:t>
            </w:r>
            <w:r>
              <w:rPr>
                <w:rFonts w:ascii="Times New Roman" w:hAnsi="Times New Roman" w:cs="Times New Roman"/>
                <w:color w:val="FF0000"/>
                <w:szCs w:val="20"/>
              </w:rPr>
              <w:t>or SSB info</w:t>
            </w:r>
            <w:r>
              <w:rPr>
                <w:rFonts w:ascii="Times New Roman" w:hAnsi="Times New Roman" w:cs="Times New Roman"/>
                <w:szCs w:val="20"/>
              </w:rPr>
              <w:t>) can be reused</w:t>
            </w:r>
          </w:p>
        </w:tc>
      </w:tr>
    </w:tbl>
    <w:p>
      <w:pPr>
        <w:spacing w:before="120"/>
        <w:rPr>
          <w:i/>
        </w:rPr>
      </w:pPr>
      <w:r>
        <w:rPr>
          <w:b/>
          <w:i/>
        </w:rPr>
        <w:t xml:space="preserve">Proposal </w:t>
      </w:r>
      <w:r>
        <w:rPr>
          <w:rFonts w:hint="eastAsia" w:eastAsia="宋体"/>
          <w:b/>
          <w:i/>
          <w:lang w:val="en-US" w:eastAsia="zh-CN"/>
        </w:rPr>
        <w:t>19</w:t>
      </w:r>
      <w:r>
        <w:rPr>
          <w:rFonts w:hint="eastAsia"/>
          <w:b/>
          <w:i/>
        </w:rPr>
        <w:t xml:space="preserve">: </w:t>
      </w:r>
      <w:r>
        <w:rPr>
          <w:i/>
        </w:rPr>
        <w:t>For RRC configuration for MPE mitigation, the following modification is proposed in red</w:t>
      </w:r>
    </w:p>
    <w:tbl>
      <w:tblPr>
        <w:tblStyle w:val="23"/>
        <w:tblW w:w="9209" w:type="dxa"/>
        <w:tblInd w:w="0" w:type="dxa"/>
        <w:tblLayout w:type="fixed"/>
        <w:tblCellMar>
          <w:top w:w="0" w:type="dxa"/>
          <w:left w:w="108" w:type="dxa"/>
          <w:bottom w:w="0" w:type="dxa"/>
          <w:right w:w="108" w:type="dxa"/>
        </w:tblCellMar>
      </w:tblPr>
      <w:tblGrid>
        <w:gridCol w:w="1838"/>
        <w:gridCol w:w="2977"/>
        <w:gridCol w:w="4394"/>
      </w:tblGrid>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strike/>
                <w:color w:val="FF0000"/>
                <w:szCs w:val="20"/>
              </w:rPr>
            </w:pPr>
            <w:r>
              <w:rPr>
                <w:rFonts w:ascii="Times New Roman" w:hAnsi="Times New Roman" w:cs="Times New Roman"/>
                <w:strike/>
                <w:color w:val="FF0000"/>
                <w:szCs w:val="20"/>
              </w:rPr>
              <w:t>MPE-Config-FR2-r17</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strike/>
                <w:color w:val="FF0000"/>
                <w:szCs w:val="20"/>
              </w:rPr>
            </w:pPr>
            <w:r>
              <w:rPr>
                <w:rFonts w:ascii="Times New Roman" w:hAnsi="Times New Roman" w:cs="Times New Roman"/>
                <w:strike/>
                <w:color w:val="FF0000"/>
                <w:szCs w:val="20"/>
              </w:rPr>
              <w:t>This can be in PHR-Config (up to RAN2), including timer, threshold, and N</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strike/>
                <w:color w:val="FF0000"/>
                <w:szCs w:val="20"/>
              </w:rPr>
            </w:pPr>
            <w:r>
              <w:rPr>
                <w:rFonts w:ascii="Times New Roman" w:hAnsi="Times New Roman" w:cs="Times New Roman"/>
                <w:strike/>
                <w:color w:val="FF0000"/>
                <w:szCs w:val="20"/>
              </w:rPr>
              <w:t>It can be discussed in RAN2 whether a new parameter/structutre is needed or the associated legacy parameter/structure for PHR reporting can be directly reused</w:t>
            </w: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strike/>
                <w:color w:val="FF0000"/>
                <w:szCs w:val="20"/>
              </w:rPr>
            </w:pPr>
            <w:r>
              <w:rPr>
                <w:rFonts w:ascii="Times New Roman" w:hAnsi="Times New Roman" w:cs="Times New Roman"/>
                <w:strike/>
                <w:color w:val="FF0000"/>
                <w:szCs w:val="20"/>
              </w:rPr>
              <w:t>mpe-ProhibitTimer-r17</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Value in number of subframes for MPE reporting, as specified in TS 38.321 [3]. Value sf10 corresponds to 10 subframes, and so on. This can be in PHR-Config (up to RAN2)</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It can be discussed in RAN2 whether a new parameter/structutre is needed or the associated legacy parameter/structure for PHR reporting can be directly reused</w:t>
            </w:r>
          </w:p>
        </w:tc>
      </w:tr>
      <w:tr>
        <w:tblPrEx>
          <w:tblCellMar>
            <w:top w:w="0" w:type="dxa"/>
            <w:left w:w="108" w:type="dxa"/>
            <w:bottom w:w="0" w:type="dxa"/>
            <w:right w:w="108" w:type="dxa"/>
          </w:tblCellMar>
        </w:tblPrEx>
        <w:trPr>
          <w:trHeight w:val="913"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strike/>
                <w:color w:val="FF0000"/>
                <w:szCs w:val="20"/>
              </w:rPr>
            </w:pPr>
            <w:r>
              <w:rPr>
                <w:rFonts w:ascii="Times New Roman" w:hAnsi="Times New Roman" w:cs="Times New Roman"/>
                <w:strike/>
                <w:color w:val="FF0000"/>
                <w:szCs w:val="20"/>
              </w:rPr>
              <w:t>mpe-Threshold-r17</w:t>
            </w:r>
          </w:p>
        </w:tc>
        <w:tc>
          <w:tcPr>
            <w:tcW w:w="2977"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Value of the P-MPR threshold in dB for reporting MPE P-MPR when FR2 is configured, as specified in TS 38.321 [3]. The same value applies for each serving cell (although the associated functionality is performed independently for each cell). This can be in PHR-Config (up to RAN2)</w:t>
            </w:r>
          </w:p>
        </w:tc>
        <w:tc>
          <w:tcPr>
            <w:tcW w:w="4394" w:type="dxa"/>
            <w:tcBorders>
              <w:top w:val="single" w:color="auto" w:sz="4" w:space="0"/>
              <w:left w:val="nil"/>
              <w:bottom w:val="single" w:color="auto" w:sz="4" w:space="0"/>
              <w:right w:val="single" w:color="auto" w:sz="4" w:space="0"/>
            </w:tcBorders>
            <w:vAlign w:val="center"/>
          </w:tcPr>
          <w:p>
            <w:pPr>
              <w:spacing w:after="0" w:line="240" w:lineRule="auto"/>
              <w:rPr>
                <w:rFonts w:eastAsia="Times New Roman"/>
                <w:strike/>
                <w:color w:val="FF0000"/>
                <w:szCs w:val="20"/>
              </w:rPr>
            </w:pPr>
            <w:r>
              <w:rPr>
                <w:rFonts w:ascii="Times New Roman" w:hAnsi="Times New Roman" w:cs="Times New Roman"/>
                <w:strike/>
                <w:color w:val="FF0000"/>
                <w:szCs w:val="20"/>
              </w:rPr>
              <w:t>It can be discussed n RAN2 whether a new parameter/structutre is needed or the associated legacy parameter/structure for PHR reporting can be directly reused</w:t>
            </w:r>
          </w:p>
        </w:tc>
      </w:tr>
    </w:tbl>
    <w:p>
      <w:pPr>
        <w:widowControl w:val="0"/>
        <w:snapToGrid w:val="0"/>
        <w:spacing w:before="120" w:after="120" w:afterLines="50" w:line="300" w:lineRule="auto"/>
        <w:jc w:val="both"/>
        <w:rPr>
          <w:rFonts w:eastAsia="微软雅黑"/>
          <w:szCs w:val="20"/>
          <w:u w:val="single"/>
        </w:rPr>
      </w:pPr>
    </w:p>
    <w:p>
      <w:pPr>
        <w:keepNext/>
        <w:widowControl w:val="0"/>
        <w:numPr>
          <w:ilvl w:val="0"/>
          <w:numId w:val="7"/>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73"/>
        <w:numPr>
          <w:ilvl w:val="0"/>
          <w:numId w:val="23"/>
        </w:numPr>
        <w:snapToGrid w:val="0"/>
        <w:rPr>
          <w:bCs/>
          <w:sz w:val="20"/>
          <w:szCs w:val="20"/>
        </w:rPr>
      </w:pPr>
      <w:r>
        <w:rPr>
          <w:rFonts w:hint="eastAsia"/>
          <w:bCs/>
          <w:sz w:val="20"/>
          <w:szCs w:val="20"/>
        </w:rPr>
        <w:t>Chairman's Notes RAN1#106b-e</w:t>
      </w:r>
    </w:p>
    <w:p>
      <w:pPr>
        <w:pStyle w:val="73"/>
        <w:numPr>
          <w:ilvl w:val="-1"/>
          <w:numId w:val="0"/>
        </w:numPr>
        <w:snapToGrid w:val="0"/>
        <w:rPr>
          <w:bCs/>
          <w:sz w:val="20"/>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roman"/>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0000017"/>
    <w:multiLevelType w:val="multilevel"/>
    <w:tmpl w:val="000000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0000027"/>
    <w:multiLevelType w:val="multilevel"/>
    <w:tmpl w:val="0000002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0000002A"/>
    <w:multiLevelType w:val="multilevel"/>
    <w:tmpl w:val="000000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0291705"/>
    <w:multiLevelType w:val="multilevel"/>
    <w:tmpl w:val="102917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9BF726B"/>
    <w:multiLevelType w:val="multilevel"/>
    <w:tmpl w:val="19BF72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3645A8C"/>
    <w:multiLevelType w:val="multilevel"/>
    <w:tmpl w:val="23645A8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0">
    <w:nsid w:val="38025377"/>
    <w:multiLevelType w:val="multilevel"/>
    <w:tmpl w:val="380253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2B3068E"/>
    <w:multiLevelType w:val="multilevel"/>
    <w:tmpl w:val="42B3068E"/>
    <w:lvl w:ilvl="0" w:tentative="0">
      <w:start w:val="0"/>
      <w:numFmt w:val="bullet"/>
      <w:lvlText w:val="-"/>
      <w:lvlJc w:val="left"/>
      <w:pPr>
        <w:ind w:left="720" w:hanging="360"/>
      </w:pPr>
      <w:rPr>
        <w:rFonts w:hint="default" w:ascii="Times" w:hAnsi="Times" w:eastAsia="宋体"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8496DEA"/>
    <w:multiLevelType w:val="multilevel"/>
    <w:tmpl w:val="48496DE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4">
    <w:nsid w:val="4B140ED7"/>
    <w:multiLevelType w:val="multilevel"/>
    <w:tmpl w:val="4B140ED7"/>
    <w:lvl w:ilvl="0" w:tentative="0">
      <w:start w:val="0"/>
      <w:numFmt w:val="bullet"/>
      <w:lvlText w:val="-"/>
      <w:lvlJc w:val="left"/>
      <w:pPr>
        <w:ind w:left="780" w:hanging="360"/>
      </w:pPr>
      <w:rPr>
        <w:rFonts w:hint="default" w:ascii="Times New Roman" w:hAnsi="Times New Roman" w:eastAsia="微软雅黑" w:cs="Times New Roman"/>
        <w:lang w:val="en-US"/>
      </w:rPr>
    </w:lvl>
    <w:lvl w:ilvl="1" w:tentative="0">
      <w:start w:val="10"/>
      <w:numFmt w:val="bullet"/>
      <w:lvlText w:val="•"/>
      <w:lvlJc w:val="left"/>
      <w:pPr>
        <w:ind w:left="1260" w:hanging="420"/>
      </w:pPr>
      <w:rPr>
        <w:rFonts w:hint="default" w:ascii="Times" w:hAnsi="Times" w:eastAsia="Batang" w:cs="Time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56123AE4"/>
    <w:multiLevelType w:val="multilevel"/>
    <w:tmpl w:val="56123A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6745CEC"/>
    <w:multiLevelType w:val="multilevel"/>
    <w:tmpl w:val="56745C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8D80F43"/>
    <w:multiLevelType w:val="multilevel"/>
    <w:tmpl w:val="58D80F43"/>
    <w:lvl w:ilvl="0" w:tentative="0">
      <w:start w:val="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E93823A"/>
    <w:multiLevelType w:val="singleLevel"/>
    <w:tmpl w:val="5E93823A"/>
    <w:lvl w:ilvl="0" w:tentative="0">
      <w:start w:val="1"/>
      <w:numFmt w:val="decimal"/>
      <w:suff w:val="space"/>
      <w:lvlText w:val="[%1]"/>
      <w:lvlJc w:val="left"/>
    </w:lvl>
  </w:abstractNum>
  <w:abstractNum w:abstractNumId="19">
    <w:nsid w:val="68AA0C24"/>
    <w:multiLevelType w:val="multilevel"/>
    <w:tmpl w:val="68AA0C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2DA5858"/>
    <w:multiLevelType w:val="multilevel"/>
    <w:tmpl w:val="72DA58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22"/>
  </w:num>
  <w:num w:numId="4">
    <w:abstractNumId w:val="5"/>
  </w:num>
  <w:num w:numId="5">
    <w:abstractNumId w:val="20"/>
  </w:num>
  <w:num w:numId="6">
    <w:abstractNumId w:val="13"/>
  </w:num>
  <w:num w:numId="7">
    <w:abstractNumId w:val="9"/>
  </w:num>
  <w:num w:numId="8">
    <w:abstractNumId w:val="6"/>
  </w:num>
  <w:num w:numId="9">
    <w:abstractNumId w:val="3"/>
  </w:num>
  <w:num w:numId="10">
    <w:abstractNumId w:val="16"/>
  </w:num>
  <w:num w:numId="11">
    <w:abstractNumId w:val="2"/>
  </w:num>
  <w:num w:numId="12">
    <w:abstractNumId w:val="12"/>
  </w:num>
  <w:num w:numId="13">
    <w:abstractNumId w:val="19"/>
  </w:num>
  <w:num w:numId="14">
    <w:abstractNumId w:val="11"/>
  </w:num>
  <w:num w:numId="15">
    <w:abstractNumId w:val="14"/>
  </w:num>
  <w:num w:numId="16">
    <w:abstractNumId w:val="1"/>
  </w:num>
  <w:num w:numId="17">
    <w:abstractNumId w:val="21"/>
  </w:num>
  <w:num w:numId="18">
    <w:abstractNumId w:val="8"/>
  </w:num>
  <w:num w:numId="19">
    <w:abstractNumId w:val="10"/>
  </w:num>
  <w:num w:numId="20">
    <w:abstractNumId w:val="7"/>
  </w:num>
  <w:num w:numId="21">
    <w:abstractNumId w:val="15"/>
  </w:num>
  <w:num w:numId="22">
    <w:abstractNumId w:val="17"/>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C4497"/>
    <w:rsid w:val="013D13C6"/>
    <w:rsid w:val="01422B07"/>
    <w:rsid w:val="01462EFE"/>
    <w:rsid w:val="015E0BE9"/>
    <w:rsid w:val="016847E7"/>
    <w:rsid w:val="018F1416"/>
    <w:rsid w:val="01AB094A"/>
    <w:rsid w:val="01AE21DC"/>
    <w:rsid w:val="01B306E4"/>
    <w:rsid w:val="01D27A5F"/>
    <w:rsid w:val="02004B2C"/>
    <w:rsid w:val="0201766A"/>
    <w:rsid w:val="02151F95"/>
    <w:rsid w:val="022A4AA1"/>
    <w:rsid w:val="022E47B0"/>
    <w:rsid w:val="02554999"/>
    <w:rsid w:val="02565169"/>
    <w:rsid w:val="02574326"/>
    <w:rsid w:val="025B75F9"/>
    <w:rsid w:val="02767EF6"/>
    <w:rsid w:val="029B47FF"/>
    <w:rsid w:val="02B34E07"/>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F479D"/>
    <w:rsid w:val="04694EAC"/>
    <w:rsid w:val="046A03D5"/>
    <w:rsid w:val="046C35A2"/>
    <w:rsid w:val="0492209E"/>
    <w:rsid w:val="049406C4"/>
    <w:rsid w:val="04B345F7"/>
    <w:rsid w:val="04BE7DD0"/>
    <w:rsid w:val="04CD0148"/>
    <w:rsid w:val="04EB3650"/>
    <w:rsid w:val="050D0125"/>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6073C3A"/>
    <w:rsid w:val="06093003"/>
    <w:rsid w:val="060D79A1"/>
    <w:rsid w:val="060E00E0"/>
    <w:rsid w:val="06197729"/>
    <w:rsid w:val="06257099"/>
    <w:rsid w:val="0632692A"/>
    <w:rsid w:val="064244D9"/>
    <w:rsid w:val="067751BD"/>
    <w:rsid w:val="06A11B02"/>
    <w:rsid w:val="06BA6ABF"/>
    <w:rsid w:val="06C62058"/>
    <w:rsid w:val="06CF7159"/>
    <w:rsid w:val="06D32D7E"/>
    <w:rsid w:val="06E21138"/>
    <w:rsid w:val="06E64C63"/>
    <w:rsid w:val="06F24EF2"/>
    <w:rsid w:val="07470651"/>
    <w:rsid w:val="075815C4"/>
    <w:rsid w:val="07934010"/>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BE0571E"/>
    <w:rsid w:val="0BE32529"/>
    <w:rsid w:val="0C195365"/>
    <w:rsid w:val="0C1A6BD3"/>
    <w:rsid w:val="0C1D70C9"/>
    <w:rsid w:val="0C6F4E58"/>
    <w:rsid w:val="0C76751C"/>
    <w:rsid w:val="0CFB1DB9"/>
    <w:rsid w:val="0D103D70"/>
    <w:rsid w:val="0D220294"/>
    <w:rsid w:val="0D283356"/>
    <w:rsid w:val="0D3A4A42"/>
    <w:rsid w:val="0D5773D6"/>
    <w:rsid w:val="0D594DB6"/>
    <w:rsid w:val="0D632B1E"/>
    <w:rsid w:val="0D6E771D"/>
    <w:rsid w:val="0D7D7848"/>
    <w:rsid w:val="0D80206A"/>
    <w:rsid w:val="0D8E173E"/>
    <w:rsid w:val="0DA10A04"/>
    <w:rsid w:val="0DD74FA9"/>
    <w:rsid w:val="0DF13B47"/>
    <w:rsid w:val="0E0A5187"/>
    <w:rsid w:val="0E332166"/>
    <w:rsid w:val="0E3917FF"/>
    <w:rsid w:val="0E613656"/>
    <w:rsid w:val="0E72787E"/>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F5ED1"/>
    <w:rsid w:val="112A5200"/>
    <w:rsid w:val="112B7604"/>
    <w:rsid w:val="11306888"/>
    <w:rsid w:val="1168799E"/>
    <w:rsid w:val="118B5FDD"/>
    <w:rsid w:val="11A10C39"/>
    <w:rsid w:val="11A64DBC"/>
    <w:rsid w:val="11AF324A"/>
    <w:rsid w:val="11B31B1D"/>
    <w:rsid w:val="11B814E6"/>
    <w:rsid w:val="11C557B7"/>
    <w:rsid w:val="1228310E"/>
    <w:rsid w:val="12325B1D"/>
    <w:rsid w:val="1244691E"/>
    <w:rsid w:val="1251591B"/>
    <w:rsid w:val="12610602"/>
    <w:rsid w:val="126B461E"/>
    <w:rsid w:val="127D72F2"/>
    <w:rsid w:val="12A908D3"/>
    <w:rsid w:val="12AA7F02"/>
    <w:rsid w:val="12B31A9B"/>
    <w:rsid w:val="12B47253"/>
    <w:rsid w:val="12C14396"/>
    <w:rsid w:val="12DE33CA"/>
    <w:rsid w:val="12FC274E"/>
    <w:rsid w:val="12FF52DE"/>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007100"/>
    <w:rsid w:val="14145A78"/>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416178"/>
    <w:rsid w:val="1561603B"/>
    <w:rsid w:val="15690DB0"/>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90477"/>
    <w:rsid w:val="188C5B30"/>
    <w:rsid w:val="188C6C7D"/>
    <w:rsid w:val="18960812"/>
    <w:rsid w:val="189C7EF6"/>
    <w:rsid w:val="18B04B4D"/>
    <w:rsid w:val="18C5316D"/>
    <w:rsid w:val="18E87E12"/>
    <w:rsid w:val="18F5052C"/>
    <w:rsid w:val="191D14D9"/>
    <w:rsid w:val="19693EEF"/>
    <w:rsid w:val="196B5F41"/>
    <w:rsid w:val="19A33A02"/>
    <w:rsid w:val="19D1732F"/>
    <w:rsid w:val="19F92180"/>
    <w:rsid w:val="1A001213"/>
    <w:rsid w:val="1A0D4248"/>
    <w:rsid w:val="1A200A74"/>
    <w:rsid w:val="1A2F2398"/>
    <w:rsid w:val="1A3055B8"/>
    <w:rsid w:val="1A5655AF"/>
    <w:rsid w:val="1A6B5CD7"/>
    <w:rsid w:val="1A9B675D"/>
    <w:rsid w:val="1AD153DF"/>
    <w:rsid w:val="1ADE3E70"/>
    <w:rsid w:val="1AE032B7"/>
    <w:rsid w:val="1AE42348"/>
    <w:rsid w:val="1AE5004C"/>
    <w:rsid w:val="1AF2383D"/>
    <w:rsid w:val="1B157C1A"/>
    <w:rsid w:val="1B1A6E4B"/>
    <w:rsid w:val="1B211C8A"/>
    <w:rsid w:val="1B325062"/>
    <w:rsid w:val="1B572C7F"/>
    <w:rsid w:val="1B5734B2"/>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A0F66"/>
    <w:rsid w:val="1CDE446D"/>
    <w:rsid w:val="1CE20210"/>
    <w:rsid w:val="1CE55FB2"/>
    <w:rsid w:val="1D26771C"/>
    <w:rsid w:val="1D464FEE"/>
    <w:rsid w:val="1D5D7C71"/>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F31D2"/>
    <w:rsid w:val="1EDC2551"/>
    <w:rsid w:val="1EF23920"/>
    <w:rsid w:val="1EF80396"/>
    <w:rsid w:val="1F032AB6"/>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F12135"/>
    <w:rsid w:val="20F90AAC"/>
    <w:rsid w:val="20FA405B"/>
    <w:rsid w:val="212B616E"/>
    <w:rsid w:val="213121BA"/>
    <w:rsid w:val="214A2960"/>
    <w:rsid w:val="215302B9"/>
    <w:rsid w:val="215670DE"/>
    <w:rsid w:val="2183462B"/>
    <w:rsid w:val="218E4A09"/>
    <w:rsid w:val="218E6399"/>
    <w:rsid w:val="219C6DDD"/>
    <w:rsid w:val="21DF3292"/>
    <w:rsid w:val="22111157"/>
    <w:rsid w:val="2229623B"/>
    <w:rsid w:val="22477192"/>
    <w:rsid w:val="224C2951"/>
    <w:rsid w:val="227A54E3"/>
    <w:rsid w:val="22865CFC"/>
    <w:rsid w:val="22BD3256"/>
    <w:rsid w:val="22BD4E7D"/>
    <w:rsid w:val="22D07449"/>
    <w:rsid w:val="22E40F3D"/>
    <w:rsid w:val="230B248C"/>
    <w:rsid w:val="231847B8"/>
    <w:rsid w:val="231E3ED2"/>
    <w:rsid w:val="234421C7"/>
    <w:rsid w:val="234D61BE"/>
    <w:rsid w:val="23537C14"/>
    <w:rsid w:val="23700EEA"/>
    <w:rsid w:val="238C42D2"/>
    <w:rsid w:val="2393048F"/>
    <w:rsid w:val="239E3C8F"/>
    <w:rsid w:val="23A06B4E"/>
    <w:rsid w:val="23A40CCF"/>
    <w:rsid w:val="23FA1D01"/>
    <w:rsid w:val="2404601A"/>
    <w:rsid w:val="24351B4F"/>
    <w:rsid w:val="243647BB"/>
    <w:rsid w:val="24501237"/>
    <w:rsid w:val="24576A62"/>
    <w:rsid w:val="245E385D"/>
    <w:rsid w:val="246E76BE"/>
    <w:rsid w:val="24762507"/>
    <w:rsid w:val="24863B93"/>
    <w:rsid w:val="24975612"/>
    <w:rsid w:val="249E3719"/>
    <w:rsid w:val="24B346B5"/>
    <w:rsid w:val="24B606B7"/>
    <w:rsid w:val="24D92A69"/>
    <w:rsid w:val="24EC3BCA"/>
    <w:rsid w:val="24EC4ADF"/>
    <w:rsid w:val="24EF6448"/>
    <w:rsid w:val="24F71B8F"/>
    <w:rsid w:val="24F92CDE"/>
    <w:rsid w:val="250C0B5D"/>
    <w:rsid w:val="25335BFF"/>
    <w:rsid w:val="25353A77"/>
    <w:rsid w:val="253D4E51"/>
    <w:rsid w:val="25462DA6"/>
    <w:rsid w:val="25893EFE"/>
    <w:rsid w:val="25B35E6A"/>
    <w:rsid w:val="25BE6749"/>
    <w:rsid w:val="25DE0185"/>
    <w:rsid w:val="25E04003"/>
    <w:rsid w:val="25EE6875"/>
    <w:rsid w:val="26056FD7"/>
    <w:rsid w:val="260C334C"/>
    <w:rsid w:val="26276BC7"/>
    <w:rsid w:val="26412189"/>
    <w:rsid w:val="26517452"/>
    <w:rsid w:val="26566E1C"/>
    <w:rsid w:val="2679079E"/>
    <w:rsid w:val="268120E0"/>
    <w:rsid w:val="268B4EFD"/>
    <w:rsid w:val="26A10A64"/>
    <w:rsid w:val="26A24282"/>
    <w:rsid w:val="26BB6790"/>
    <w:rsid w:val="26C84C3F"/>
    <w:rsid w:val="26CA39FA"/>
    <w:rsid w:val="26D85E33"/>
    <w:rsid w:val="26DB2072"/>
    <w:rsid w:val="270B4A30"/>
    <w:rsid w:val="270F1235"/>
    <w:rsid w:val="271D238B"/>
    <w:rsid w:val="273460AC"/>
    <w:rsid w:val="2737495D"/>
    <w:rsid w:val="274E64D1"/>
    <w:rsid w:val="27862FAB"/>
    <w:rsid w:val="278F67DD"/>
    <w:rsid w:val="27B778B7"/>
    <w:rsid w:val="27CE4805"/>
    <w:rsid w:val="27DC01C9"/>
    <w:rsid w:val="27E53287"/>
    <w:rsid w:val="27EA6D62"/>
    <w:rsid w:val="28151DED"/>
    <w:rsid w:val="28300784"/>
    <w:rsid w:val="28316877"/>
    <w:rsid w:val="283F2A39"/>
    <w:rsid w:val="28630E79"/>
    <w:rsid w:val="289E6725"/>
    <w:rsid w:val="28C0611A"/>
    <w:rsid w:val="28E2641E"/>
    <w:rsid w:val="29027AB4"/>
    <w:rsid w:val="29057EC1"/>
    <w:rsid w:val="290E28AF"/>
    <w:rsid w:val="292011C8"/>
    <w:rsid w:val="29217C5E"/>
    <w:rsid w:val="29313C99"/>
    <w:rsid w:val="293757A5"/>
    <w:rsid w:val="293A1BB5"/>
    <w:rsid w:val="293D0E03"/>
    <w:rsid w:val="293F5958"/>
    <w:rsid w:val="294A094A"/>
    <w:rsid w:val="29864976"/>
    <w:rsid w:val="299E7A8C"/>
    <w:rsid w:val="29C52E87"/>
    <w:rsid w:val="29D9317B"/>
    <w:rsid w:val="29F04EAF"/>
    <w:rsid w:val="29F116D0"/>
    <w:rsid w:val="2A0241CA"/>
    <w:rsid w:val="2A0777DB"/>
    <w:rsid w:val="2A1E7E82"/>
    <w:rsid w:val="2A7D5C08"/>
    <w:rsid w:val="2A832C81"/>
    <w:rsid w:val="2A90033E"/>
    <w:rsid w:val="2AA47786"/>
    <w:rsid w:val="2AAA19F3"/>
    <w:rsid w:val="2AAD65EE"/>
    <w:rsid w:val="2AB23403"/>
    <w:rsid w:val="2AC77380"/>
    <w:rsid w:val="2ADD6AFD"/>
    <w:rsid w:val="2ADE6550"/>
    <w:rsid w:val="2AEA0CBC"/>
    <w:rsid w:val="2AFE0D9C"/>
    <w:rsid w:val="2B2E0309"/>
    <w:rsid w:val="2B422946"/>
    <w:rsid w:val="2B5B34DC"/>
    <w:rsid w:val="2B6D12EE"/>
    <w:rsid w:val="2B76579E"/>
    <w:rsid w:val="2B831E93"/>
    <w:rsid w:val="2B885C3B"/>
    <w:rsid w:val="2B964DED"/>
    <w:rsid w:val="2BA57D96"/>
    <w:rsid w:val="2BAE29A1"/>
    <w:rsid w:val="2BBE438D"/>
    <w:rsid w:val="2BD315B0"/>
    <w:rsid w:val="2BE373EE"/>
    <w:rsid w:val="2BFC3156"/>
    <w:rsid w:val="2C295EB9"/>
    <w:rsid w:val="2C35729B"/>
    <w:rsid w:val="2C4628DA"/>
    <w:rsid w:val="2C575DDE"/>
    <w:rsid w:val="2C622710"/>
    <w:rsid w:val="2C7A1A31"/>
    <w:rsid w:val="2C7C7D79"/>
    <w:rsid w:val="2C83115A"/>
    <w:rsid w:val="2C9466E2"/>
    <w:rsid w:val="2CAF6B04"/>
    <w:rsid w:val="2CB0279E"/>
    <w:rsid w:val="2CD12AE5"/>
    <w:rsid w:val="2D310CA2"/>
    <w:rsid w:val="2D3A323B"/>
    <w:rsid w:val="2D4B55E5"/>
    <w:rsid w:val="2D4C0E6E"/>
    <w:rsid w:val="2D53589F"/>
    <w:rsid w:val="2D7646A7"/>
    <w:rsid w:val="2D926963"/>
    <w:rsid w:val="2DB30550"/>
    <w:rsid w:val="2DDA7850"/>
    <w:rsid w:val="2DDC0104"/>
    <w:rsid w:val="2DE379BB"/>
    <w:rsid w:val="2E0177B9"/>
    <w:rsid w:val="2E034F95"/>
    <w:rsid w:val="2E090F9F"/>
    <w:rsid w:val="2E1D2BF2"/>
    <w:rsid w:val="2E2336D4"/>
    <w:rsid w:val="2E3B2A47"/>
    <w:rsid w:val="2E6003A4"/>
    <w:rsid w:val="2E69729D"/>
    <w:rsid w:val="2E6A2F38"/>
    <w:rsid w:val="2E8543E2"/>
    <w:rsid w:val="2E8C35B6"/>
    <w:rsid w:val="2E9045E4"/>
    <w:rsid w:val="2E9B575E"/>
    <w:rsid w:val="2EB50951"/>
    <w:rsid w:val="2EB673FD"/>
    <w:rsid w:val="2EB809B1"/>
    <w:rsid w:val="2EB81831"/>
    <w:rsid w:val="2ECF7A85"/>
    <w:rsid w:val="2EE054B3"/>
    <w:rsid w:val="2EEB0155"/>
    <w:rsid w:val="2EFA0186"/>
    <w:rsid w:val="2F082BB8"/>
    <w:rsid w:val="2F0F048D"/>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8640A9"/>
    <w:rsid w:val="30896C6B"/>
    <w:rsid w:val="30D0377D"/>
    <w:rsid w:val="30D1717F"/>
    <w:rsid w:val="30D2261F"/>
    <w:rsid w:val="30DE0226"/>
    <w:rsid w:val="30F50A2A"/>
    <w:rsid w:val="31007D5E"/>
    <w:rsid w:val="31115223"/>
    <w:rsid w:val="31263645"/>
    <w:rsid w:val="31442CD4"/>
    <w:rsid w:val="31445B9B"/>
    <w:rsid w:val="316B13D5"/>
    <w:rsid w:val="31720F1D"/>
    <w:rsid w:val="31745B98"/>
    <w:rsid w:val="317A7F1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D46D17"/>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B232F"/>
    <w:rsid w:val="361D59BA"/>
    <w:rsid w:val="36247CCA"/>
    <w:rsid w:val="36280FB0"/>
    <w:rsid w:val="36400759"/>
    <w:rsid w:val="364225B8"/>
    <w:rsid w:val="364B4F18"/>
    <w:rsid w:val="36544E83"/>
    <w:rsid w:val="36601F32"/>
    <w:rsid w:val="367B06EC"/>
    <w:rsid w:val="36A57135"/>
    <w:rsid w:val="36AF0D32"/>
    <w:rsid w:val="36C5766F"/>
    <w:rsid w:val="36D704F3"/>
    <w:rsid w:val="36E90250"/>
    <w:rsid w:val="36ED465C"/>
    <w:rsid w:val="36F13515"/>
    <w:rsid w:val="370058B6"/>
    <w:rsid w:val="37066B46"/>
    <w:rsid w:val="37131885"/>
    <w:rsid w:val="37556EFB"/>
    <w:rsid w:val="37634C0D"/>
    <w:rsid w:val="37635AA2"/>
    <w:rsid w:val="376D038A"/>
    <w:rsid w:val="378D4EC4"/>
    <w:rsid w:val="379127D4"/>
    <w:rsid w:val="37B01FC8"/>
    <w:rsid w:val="37F7211A"/>
    <w:rsid w:val="37FD2BB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2245B5"/>
    <w:rsid w:val="39235BBC"/>
    <w:rsid w:val="393D721A"/>
    <w:rsid w:val="393F0F59"/>
    <w:rsid w:val="394A6B61"/>
    <w:rsid w:val="394F360B"/>
    <w:rsid w:val="39825EF1"/>
    <w:rsid w:val="398636A1"/>
    <w:rsid w:val="39897949"/>
    <w:rsid w:val="399D7118"/>
    <w:rsid w:val="39BC5220"/>
    <w:rsid w:val="39D879D3"/>
    <w:rsid w:val="39E245E4"/>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62C4D"/>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DF3D10"/>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7637C"/>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B357D"/>
    <w:rsid w:val="409F5F96"/>
    <w:rsid w:val="40BC2DF7"/>
    <w:rsid w:val="40CE14CF"/>
    <w:rsid w:val="40CF6877"/>
    <w:rsid w:val="40E86C9E"/>
    <w:rsid w:val="40F347AB"/>
    <w:rsid w:val="40F83F72"/>
    <w:rsid w:val="411713CA"/>
    <w:rsid w:val="411A6663"/>
    <w:rsid w:val="412D5086"/>
    <w:rsid w:val="416E59E3"/>
    <w:rsid w:val="417C4EC1"/>
    <w:rsid w:val="41A664B7"/>
    <w:rsid w:val="41B601E7"/>
    <w:rsid w:val="41CF3C25"/>
    <w:rsid w:val="41DF5CBF"/>
    <w:rsid w:val="41EB174A"/>
    <w:rsid w:val="42226713"/>
    <w:rsid w:val="422B2BA1"/>
    <w:rsid w:val="4231785A"/>
    <w:rsid w:val="4235332E"/>
    <w:rsid w:val="42584818"/>
    <w:rsid w:val="427E48C1"/>
    <w:rsid w:val="42926048"/>
    <w:rsid w:val="429B6E22"/>
    <w:rsid w:val="429C6B61"/>
    <w:rsid w:val="42BF4C55"/>
    <w:rsid w:val="42C845D8"/>
    <w:rsid w:val="42F91034"/>
    <w:rsid w:val="43262E27"/>
    <w:rsid w:val="434841F7"/>
    <w:rsid w:val="434D6B99"/>
    <w:rsid w:val="437F792B"/>
    <w:rsid w:val="43BE214E"/>
    <w:rsid w:val="43ED298C"/>
    <w:rsid w:val="43EF2991"/>
    <w:rsid w:val="43F4696E"/>
    <w:rsid w:val="44597BEE"/>
    <w:rsid w:val="447A4753"/>
    <w:rsid w:val="44A70E24"/>
    <w:rsid w:val="44DD300E"/>
    <w:rsid w:val="44E2656D"/>
    <w:rsid w:val="44F11452"/>
    <w:rsid w:val="45177BA4"/>
    <w:rsid w:val="451C551F"/>
    <w:rsid w:val="451F3CCA"/>
    <w:rsid w:val="45341196"/>
    <w:rsid w:val="45493A4F"/>
    <w:rsid w:val="454E4188"/>
    <w:rsid w:val="45727755"/>
    <w:rsid w:val="45965757"/>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D3683"/>
    <w:rsid w:val="473B416A"/>
    <w:rsid w:val="473B7E9E"/>
    <w:rsid w:val="47403AF2"/>
    <w:rsid w:val="47453C8F"/>
    <w:rsid w:val="475B3378"/>
    <w:rsid w:val="4766347D"/>
    <w:rsid w:val="47715F93"/>
    <w:rsid w:val="478D4609"/>
    <w:rsid w:val="478D6A12"/>
    <w:rsid w:val="47962309"/>
    <w:rsid w:val="47A32AF0"/>
    <w:rsid w:val="47AF032C"/>
    <w:rsid w:val="47BA0CEF"/>
    <w:rsid w:val="47EA4D37"/>
    <w:rsid w:val="47EC146A"/>
    <w:rsid w:val="48334280"/>
    <w:rsid w:val="48386782"/>
    <w:rsid w:val="48406A1E"/>
    <w:rsid w:val="48455013"/>
    <w:rsid w:val="484B7369"/>
    <w:rsid w:val="487274B4"/>
    <w:rsid w:val="48811612"/>
    <w:rsid w:val="488818E0"/>
    <w:rsid w:val="48E06989"/>
    <w:rsid w:val="48E92C88"/>
    <w:rsid w:val="48EB1D85"/>
    <w:rsid w:val="494C141C"/>
    <w:rsid w:val="4954359E"/>
    <w:rsid w:val="49821D8D"/>
    <w:rsid w:val="4987544D"/>
    <w:rsid w:val="49AE3D92"/>
    <w:rsid w:val="49BF2772"/>
    <w:rsid w:val="49C15E4E"/>
    <w:rsid w:val="49C47EBE"/>
    <w:rsid w:val="49C55CAD"/>
    <w:rsid w:val="49CA225D"/>
    <w:rsid w:val="49D270B8"/>
    <w:rsid w:val="4A1203E3"/>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BB336E"/>
    <w:rsid w:val="4DBE6815"/>
    <w:rsid w:val="4DF67531"/>
    <w:rsid w:val="4DF9062B"/>
    <w:rsid w:val="4E014EF8"/>
    <w:rsid w:val="4E066E93"/>
    <w:rsid w:val="4E075658"/>
    <w:rsid w:val="4E1D7E77"/>
    <w:rsid w:val="4E236A05"/>
    <w:rsid w:val="4E51451A"/>
    <w:rsid w:val="4EDE397C"/>
    <w:rsid w:val="4EF614BA"/>
    <w:rsid w:val="4EF62402"/>
    <w:rsid w:val="4F087D26"/>
    <w:rsid w:val="4F35630A"/>
    <w:rsid w:val="4F362E18"/>
    <w:rsid w:val="4F497B36"/>
    <w:rsid w:val="4F540B41"/>
    <w:rsid w:val="4F547EAA"/>
    <w:rsid w:val="4F832885"/>
    <w:rsid w:val="4F9039FE"/>
    <w:rsid w:val="4FE02223"/>
    <w:rsid w:val="50437224"/>
    <w:rsid w:val="50490678"/>
    <w:rsid w:val="505A512C"/>
    <w:rsid w:val="5089260D"/>
    <w:rsid w:val="50895295"/>
    <w:rsid w:val="5098572F"/>
    <w:rsid w:val="50B906DF"/>
    <w:rsid w:val="50F018D3"/>
    <w:rsid w:val="50F47A17"/>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6F7A15"/>
    <w:rsid w:val="54871B54"/>
    <w:rsid w:val="549F3EDE"/>
    <w:rsid w:val="54AA3CD9"/>
    <w:rsid w:val="54B76615"/>
    <w:rsid w:val="54D31B63"/>
    <w:rsid w:val="54EA3219"/>
    <w:rsid w:val="550118A5"/>
    <w:rsid w:val="554860F4"/>
    <w:rsid w:val="55582F0D"/>
    <w:rsid w:val="557A16A0"/>
    <w:rsid w:val="559A22C4"/>
    <w:rsid w:val="559C2F3F"/>
    <w:rsid w:val="559F228F"/>
    <w:rsid w:val="55B54251"/>
    <w:rsid w:val="55D00DC0"/>
    <w:rsid w:val="55E8090D"/>
    <w:rsid w:val="562A1609"/>
    <w:rsid w:val="563F74A4"/>
    <w:rsid w:val="566B53D2"/>
    <w:rsid w:val="56715C12"/>
    <w:rsid w:val="567B1141"/>
    <w:rsid w:val="5681373E"/>
    <w:rsid w:val="56991451"/>
    <w:rsid w:val="569A3398"/>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4410CC"/>
    <w:rsid w:val="585712B7"/>
    <w:rsid w:val="58603614"/>
    <w:rsid w:val="58615E6E"/>
    <w:rsid w:val="58635793"/>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4130FC"/>
    <w:rsid w:val="5E447267"/>
    <w:rsid w:val="5E4A572D"/>
    <w:rsid w:val="5E5667A6"/>
    <w:rsid w:val="5E676802"/>
    <w:rsid w:val="5E6C7C78"/>
    <w:rsid w:val="5E72699B"/>
    <w:rsid w:val="5E815CED"/>
    <w:rsid w:val="5E887A26"/>
    <w:rsid w:val="5EA35CFD"/>
    <w:rsid w:val="5EAC0CC5"/>
    <w:rsid w:val="5EB75E1B"/>
    <w:rsid w:val="5EC56393"/>
    <w:rsid w:val="5EF078DD"/>
    <w:rsid w:val="5EF62DCD"/>
    <w:rsid w:val="5EFB0071"/>
    <w:rsid w:val="5EFE34A1"/>
    <w:rsid w:val="5F173FD8"/>
    <w:rsid w:val="5F3262F4"/>
    <w:rsid w:val="5F5C27E5"/>
    <w:rsid w:val="5F6938A8"/>
    <w:rsid w:val="5F6E2815"/>
    <w:rsid w:val="5F7C06D8"/>
    <w:rsid w:val="5F9E02EC"/>
    <w:rsid w:val="5FA1081C"/>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F3FB5"/>
    <w:rsid w:val="63021DE2"/>
    <w:rsid w:val="63112339"/>
    <w:rsid w:val="632C21E9"/>
    <w:rsid w:val="632C2662"/>
    <w:rsid w:val="633A0F04"/>
    <w:rsid w:val="6340127C"/>
    <w:rsid w:val="63654FE0"/>
    <w:rsid w:val="63AA5332"/>
    <w:rsid w:val="63C61233"/>
    <w:rsid w:val="63FF6AFB"/>
    <w:rsid w:val="64142736"/>
    <w:rsid w:val="642A2A58"/>
    <w:rsid w:val="64391A57"/>
    <w:rsid w:val="64585109"/>
    <w:rsid w:val="645F7031"/>
    <w:rsid w:val="64881679"/>
    <w:rsid w:val="649F7EFD"/>
    <w:rsid w:val="64A67ACD"/>
    <w:rsid w:val="64B23DB4"/>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D464DCC"/>
    <w:rsid w:val="6D616216"/>
    <w:rsid w:val="6D932C97"/>
    <w:rsid w:val="6DA225C5"/>
    <w:rsid w:val="6DB630F7"/>
    <w:rsid w:val="6DBF57D4"/>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63635"/>
    <w:rsid w:val="709E757C"/>
    <w:rsid w:val="70AB6982"/>
    <w:rsid w:val="70B960E4"/>
    <w:rsid w:val="70BD0161"/>
    <w:rsid w:val="70CE2945"/>
    <w:rsid w:val="70E03E42"/>
    <w:rsid w:val="710003A8"/>
    <w:rsid w:val="710376A0"/>
    <w:rsid w:val="710F0BB8"/>
    <w:rsid w:val="71194261"/>
    <w:rsid w:val="711C5BB5"/>
    <w:rsid w:val="71375D39"/>
    <w:rsid w:val="7144689C"/>
    <w:rsid w:val="714872A8"/>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B43C7"/>
    <w:rsid w:val="729B556A"/>
    <w:rsid w:val="72A264DB"/>
    <w:rsid w:val="72AA2B66"/>
    <w:rsid w:val="72BD48D1"/>
    <w:rsid w:val="72C65D78"/>
    <w:rsid w:val="72D7336E"/>
    <w:rsid w:val="72FD0906"/>
    <w:rsid w:val="7313580C"/>
    <w:rsid w:val="73300890"/>
    <w:rsid w:val="7339443F"/>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48E7"/>
    <w:rsid w:val="75E027FD"/>
    <w:rsid w:val="76351D9E"/>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5666E2"/>
    <w:rsid w:val="77653ACC"/>
    <w:rsid w:val="77747DD3"/>
    <w:rsid w:val="77A82770"/>
    <w:rsid w:val="77BD7E72"/>
    <w:rsid w:val="77ED0386"/>
    <w:rsid w:val="77F72469"/>
    <w:rsid w:val="77F854D4"/>
    <w:rsid w:val="78065036"/>
    <w:rsid w:val="780D5CB6"/>
    <w:rsid w:val="78366B8C"/>
    <w:rsid w:val="783B287A"/>
    <w:rsid w:val="78482C69"/>
    <w:rsid w:val="785E7689"/>
    <w:rsid w:val="788249B9"/>
    <w:rsid w:val="78886D15"/>
    <w:rsid w:val="78B2035E"/>
    <w:rsid w:val="78B43B82"/>
    <w:rsid w:val="78B57D9C"/>
    <w:rsid w:val="78BB76EA"/>
    <w:rsid w:val="78E26C73"/>
    <w:rsid w:val="78E76B0F"/>
    <w:rsid w:val="78F65C61"/>
    <w:rsid w:val="78FB1BD1"/>
    <w:rsid w:val="79213328"/>
    <w:rsid w:val="7964511F"/>
    <w:rsid w:val="79824E81"/>
    <w:rsid w:val="79956A1C"/>
    <w:rsid w:val="799B2468"/>
    <w:rsid w:val="799E7491"/>
    <w:rsid w:val="799F3F47"/>
    <w:rsid w:val="79A72484"/>
    <w:rsid w:val="79BA471D"/>
    <w:rsid w:val="79DF005F"/>
    <w:rsid w:val="79E028EC"/>
    <w:rsid w:val="7A114E8A"/>
    <w:rsid w:val="7A1C5B1C"/>
    <w:rsid w:val="7A233119"/>
    <w:rsid w:val="7A2D6C9D"/>
    <w:rsid w:val="7A4653BA"/>
    <w:rsid w:val="7A765EEC"/>
    <w:rsid w:val="7A773B5D"/>
    <w:rsid w:val="7A790CA9"/>
    <w:rsid w:val="7AB0523D"/>
    <w:rsid w:val="7AB83F1D"/>
    <w:rsid w:val="7AD234FC"/>
    <w:rsid w:val="7AD86C9B"/>
    <w:rsid w:val="7ADD6AF4"/>
    <w:rsid w:val="7AE2061C"/>
    <w:rsid w:val="7AF937F5"/>
    <w:rsid w:val="7B002131"/>
    <w:rsid w:val="7B0864F6"/>
    <w:rsid w:val="7B1B16D3"/>
    <w:rsid w:val="7B2E6780"/>
    <w:rsid w:val="7B5D217A"/>
    <w:rsid w:val="7B614801"/>
    <w:rsid w:val="7B684A54"/>
    <w:rsid w:val="7B913B86"/>
    <w:rsid w:val="7B97422A"/>
    <w:rsid w:val="7BA969F0"/>
    <w:rsid w:val="7BB31B68"/>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57586"/>
    <w:rsid w:val="7E9B11AA"/>
    <w:rsid w:val="7EA32AD0"/>
    <w:rsid w:val="7ED55007"/>
    <w:rsid w:val="7ED953E3"/>
    <w:rsid w:val="7EF765D0"/>
    <w:rsid w:val="7EF87C96"/>
    <w:rsid w:val="7F086927"/>
    <w:rsid w:val="7F215D8A"/>
    <w:rsid w:val="7F301B1E"/>
    <w:rsid w:val="7F375D0A"/>
    <w:rsid w:val="7F500CBA"/>
    <w:rsid w:val="7F587DE1"/>
    <w:rsid w:val="7F61016D"/>
    <w:rsid w:val="7F6D28E2"/>
    <w:rsid w:val="7F820D78"/>
    <w:rsid w:val="7F935AA2"/>
    <w:rsid w:val="7FA51E6D"/>
    <w:rsid w:val="7FC76DE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1"/>
    <w:next w:val="1"/>
    <w:qFormat/>
    <w:uiPriority w:val="9"/>
    <w:pPr>
      <w:numPr>
        <w:ilvl w:val="3"/>
        <w:numId w:val="1"/>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0D851F-45EC-454E-93F9-757434DEE795}">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19</Pages>
  <Words>8976</Words>
  <Characters>51168</Characters>
  <Lines>426</Lines>
  <Paragraphs>120</Paragraphs>
  <TotalTime>13</TotalTime>
  <ScaleCrop>false</ScaleCrop>
  <LinksUpToDate>false</LinksUpToDate>
  <CharactersWithSpaces>60024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ZTE_YK1</cp:lastModifiedBy>
  <dcterms:modified xsi:type="dcterms:W3CDTF">2021-11-05T08:56:14Z</dcterms:modified>
  <dc:title>3GPP TSG-RAN WG1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